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C02ACF" w:rsidRDefault="00652DA1" w:rsidP="00C02ACF">
      <w:pPr>
        <w:pStyle w:val="afb"/>
        <w:spacing w:before="0" w:after="0" w:line="360" w:lineRule="auto"/>
        <w:rPr>
          <w:rFonts w:ascii="Arial" w:hAnsi="Arial" w:cs="Arial"/>
        </w:rPr>
      </w:pPr>
      <w:bookmarkStart w:id="0" w:name="Title"/>
      <w:bookmarkEnd w:id="0"/>
      <w:r w:rsidRPr="00C02ACF">
        <w:rPr>
          <w:rFonts w:ascii="Arial" w:hAnsi="Arial" w:cs="Arial"/>
        </w:rPr>
        <w:t>3GPP TSG-RAN WG4 Meeting #10</w:t>
      </w:r>
      <w:r w:rsidR="00E62C47">
        <w:rPr>
          <w:rFonts w:ascii="Arial" w:hAnsi="Arial" w:cs="Arial" w:hint="eastAsia"/>
        </w:rPr>
        <w:t>8</w:t>
      </w:r>
      <w:r w:rsidR="009E12E0">
        <w:rPr>
          <w:rFonts w:ascii="Arial" w:hAnsi="Arial" w:cs="Arial"/>
        </w:rPr>
        <w:t xml:space="preserve"> </w:t>
      </w:r>
      <w:r w:rsidRPr="00C02ACF">
        <w:rPr>
          <w:rFonts w:ascii="Arial" w:hAnsi="Arial" w:cs="Arial" w:hint="eastAsia"/>
        </w:rPr>
        <w:t xml:space="preserve">                                                        </w:t>
      </w:r>
      <w:r w:rsidR="00C02ACF">
        <w:rPr>
          <w:rFonts w:ascii="Arial" w:hAnsi="Arial" w:cs="Arial"/>
        </w:rPr>
        <w:t xml:space="preserve">      </w:t>
      </w:r>
      <w:r w:rsidRPr="001D260B">
        <w:rPr>
          <w:rFonts w:ascii="Arial" w:hAnsi="Arial" w:cs="Arial" w:hint="eastAsia"/>
          <w:color w:val="FF0000"/>
        </w:rPr>
        <w:t xml:space="preserve"> </w:t>
      </w:r>
      <w:r w:rsidR="00222D5D" w:rsidRPr="00222D5D">
        <w:rPr>
          <w:rFonts w:ascii="Arial" w:hAnsi="Arial" w:cs="Arial"/>
        </w:rPr>
        <w:t>R4-2311644</w:t>
      </w:r>
    </w:p>
    <w:p w:rsidR="001D260B" w:rsidRDefault="001D260B" w:rsidP="002052F5">
      <w:pPr>
        <w:pStyle w:val="afb"/>
        <w:spacing w:before="0" w:after="0" w:line="360" w:lineRule="auto"/>
        <w:rPr>
          <w:rFonts w:ascii="Arial" w:hAnsi="Arial" w:cs="Arial"/>
          <w:szCs w:val="24"/>
        </w:rPr>
      </w:pPr>
      <w:r>
        <w:rPr>
          <w:rFonts w:ascii="Arial" w:hAnsi="Arial" w:cs="Arial"/>
          <w:szCs w:val="24"/>
        </w:rPr>
        <w:t>Toulouse</w:t>
      </w:r>
      <w:r w:rsidRPr="00376830">
        <w:rPr>
          <w:rFonts w:ascii="Arial" w:hAnsi="Arial" w:cs="Arial"/>
          <w:szCs w:val="24"/>
        </w:rPr>
        <w:t xml:space="preserve">, </w:t>
      </w:r>
      <w:r>
        <w:rPr>
          <w:rFonts w:ascii="Arial" w:hAnsi="Arial" w:cs="Arial"/>
          <w:szCs w:val="24"/>
        </w:rPr>
        <w:t>France</w:t>
      </w:r>
      <w:r w:rsidRPr="00376830">
        <w:rPr>
          <w:rFonts w:ascii="Arial" w:hAnsi="Arial" w:cs="Arial"/>
          <w:szCs w:val="24"/>
        </w:rPr>
        <w:t xml:space="preserve">, </w:t>
      </w:r>
      <w:r>
        <w:rPr>
          <w:rFonts w:ascii="Arial" w:hAnsi="Arial" w:cs="Arial"/>
          <w:szCs w:val="24"/>
        </w:rPr>
        <w:t>August</w:t>
      </w:r>
      <w:r w:rsidRPr="00376830">
        <w:rPr>
          <w:rFonts w:ascii="Arial" w:hAnsi="Arial" w:cs="Arial"/>
          <w:szCs w:val="24"/>
        </w:rPr>
        <w:t xml:space="preserve"> 2</w:t>
      </w:r>
      <w:r>
        <w:rPr>
          <w:rFonts w:ascii="Arial" w:hAnsi="Arial" w:cs="Arial"/>
          <w:szCs w:val="24"/>
        </w:rPr>
        <w:t>1</w:t>
      </w:r>
      <w:r w:rsidRPr="00376830">
        <w:rPr>
          <w:rFonts w:ascii="Arial" w:hAnsi="Arial" w:cs="Arial"/>
          <w:szCs w:val="24"/>
        </w:rPr>
        <w:t xml:space="preserve"> – </w:t>
      </w:r>
      <w:r>
        <w:rPr>
          <w:rFonts w:ascii="Arial" w:hAnsi="Arial" w:cs="Arial"/>
          <w:szCs w:val="24"/>
        </w:rPr>
        <w:t>August</w:t>
      </w:r>
      <w:r w:rsidRPr="00376830">
        <w:rPr>
          <w:rFonts w:ascii="Arial" w:hAnsi="Arial" w:cs="Arial"/>
          <w:szCs w:val="24"/>
        </w:rPr>
        <w:t xml:space="preserve"> 2</w:t>
      </w:r>
      <w:r>
        <w:rPr>
          <w:rFonts w:ascii="Arial" w:hAnsi="Arial" w:cs="Arial"/>
          <w:szCs w:val="24"/>
        </w:rPr>
        <w:t>5</w:t>
      </w:r>
      <w:r w:rsidRPr="00376830">
        <w:rPr>
          <w:rFonts w:ascii="Arial" w:hAnsi="Arial" w:cs="Arial"/>
          <w:szCs w:val="24"/>
        </w:rPr>
        <w:t>, 2023</w:t>
      </w:r>
    </w:p>
    <w:p w:rsidR="001D260B" w:rsidRDefault="001D260B" w:rsidP="00A63EF1">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22D5D" w:rsidRPr="00222D5D">
        <w:rPr>
          <w:rFonts w:ascii="Arial" w:hAnsi="Arial" w:cs="Arial"/>
          <w:b w:val="0"/>
          <w:color w:val="000000" w:themeColor="text1"/>
        </w:rPr>
        <w:t>Discussion on the UE RF impact and BS TAE requirement for NES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C02ACF">
        <w:rPr>
          <w:rFonts w:ascii="Arial" w:hAnsi="Arial" w:cs="Arial"/>
          <w:b w:val="0"/>
        </w:rPr>
        <w:t>8.</w:t>
      </w:r>
      <w:r w:rsidR="00156B16">
        <w:rPr>
          <w:rFonts w:ascii="Arial" w:hAnsi="Arial" w:cs="Arial"/>
          <w:b w:val="0"/>
        </w:rPr>
        <w:t>34.3</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BB7ABC" w:rsidP="004C4C7A">
      <w:pPr>
        <w:spacing w:before="0" w:after="120"/>
        <w:jc w:val="left"/>
        <w:rPr>
          <w:color w:val="000000" w:themeColor="text1"/>
          <w:sz w:val="20"/>
          <w:lang w:val="en-US"/>
        </w:rPr>
      </w:pPr>
      <w:r>
        <w:rPr>
          <w:color w:val="000000" w:themeColor="text1"/>
          <w:sz w:val="20"/>
          <w:lang w:val="en-US"/>
        </w:rPr>
        <w:t>NES has been discusse</w:t>
      </w:r>
      <w:r w:rsidR="00F8750E">
        <w:rPr>
          <w:color w:val="000000" w:themeColor="text1"/>
          <w:sz w:val="20"/>
          <w:lang w:val="en-US"/>
        </w:rPr>
        <w:t>d for two meetings in RAN4. There’s no agreement on BS RF requirements and UE RF impact. This contribution provides more analysis on the two issues.</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2861EB" w:rsidRDefault="00F8750E" w:rsidP="00BB7ABC">
      <w:pPr>
        <w:pStyle w:val="2"/>
        <w:numPr>
          <w:ilvl w:val="1"/>
          <w:numId w:val="4"/>
        </w:numPr>
      </w:pPr>
      <w:r>
        <w:t xml:space="preserve">BS </w:t>
      </w:r>
      <w:r w:rsidR="00BB7ABC">
        <w:t>TAE requirements</w:t>
      </w:r>
    </w:p>
    <w:p w:rsidR="00F8750E" w:rsidRDefault="00F8750E" w:rsidP="00BB7ABC">
      <w:pPr>
        <w:rPr>
          <w:lang w:val="en-US"/>
        </w:rPr>
      </w:pPr>
      <w:r>
        <w:rPr>
          <w:lang w:val="en-US"/>
        </w:rPr>
        <w:t>For BS TAE requirements, the followings are the options listed in the last meeting’s WF,</w:t>
      </w:r>
    </w:p>
    <w:p w:rsidR="003A56D9" w:rsidRDefault="003A56D9" w:rsidP="00A375FE">
      <w:pPr>
        <w:numPr>
          <w:ilvl w:val="1"/>
          <w:numId w:val="20"/>
        </w:numPr>
        <w:spacing w:before="0" w:after="120"/>
        <w:jc w:val="left"/>
        <w:rPr>
          <w:szCs w:val="24"/>
          <w:lang w:val="en-US"/>
        </w:rPr>
      </w:pPr>
      <w:r>
        <w:rPr>
          <w:szCs w:val="24"/>
          <w:lang w:val="en-US"/>
        </w:rPr>
        <w:t>Option 1: 2.x us, i.e., CP size for 30kHz SCS</w:t>
      </w:r>
    </w:p>
    <w:p w:rsidR="003A56D9" w:rsidRDefault="003A56D9" w:rsidP="00A375FE">
      <w:pPr>
        <w:numPr>
          <w:ilvl w:val="1"/>
          <w:numId w:val="20"/>
        </w:numPr>
        <w:spacing w:before="0" w:after="120"/>
        <w:jc w:val="left"/>
        <w:rPr>
          <w:szCs w:val="24"/>
          <w:lang w:val="en-US"/>
        </w:rPr>
      </w:pPr>
      <w:r>
        <w:rPr>
          <w:szCs w:val="24"/>
          <w:lang w:val="en-US"/>
        </w:rPr>
        <w:t>Option 2: 260ns</w:t>
      </w:r>
    </w:p>
    <w:p w:rsidR="003A56D9" w:rsidRDefault="003A56D9" w:rsidP="00A375FE">
      <w:pPr>
        <w:numPr>
          <w:ilvl w:val="1"/>
          <w:numId w:val="20"/>
        </w:numPr>
        <w:spacing w:before="0" w:after="120"/>
        <w:jc w:val="left"/>
        <w:rPr>
          <w:szCs w:val="24"/>
          <w:lang w:val="en-US"/>
        </w:rPr>
      </w:pPr>
      <w:r>
        <w:rPr>
          <w:szCs w:val="24"/>
          <w:lang w:val="en-US"/>
        </w:rPr>
        <w:t>Option 3: 65ns</w:t>
      </w:r>
    </w:p>
    <w:p w:rsidR="003A56D9" w:rsidRDefault="003A56D9" w:rsidP="00A375FE">
      <w:pPr>
        <w:numPr>
          <w:ilvl w:val="1"/>
          <w:numId w:val="20"/>
        </w:numPr>
        <w:spacing w:before="0" w:after="120"/>
        <w:jc w:val="left"/>
        <w:rPr>
          <w:szCs w:val="24"/>
          <w:lang w:val="en-US"/>
        </w:rPr>
      </w:pPr>
      <w:r>
        <w:rPr>
          <w:szCs w:val="24"/>
          <w:lang w:val="en-US"/>
        </w:rPr>
        <w:t>Option 4: 3us</w:t>
      </w:r>
    </w:p>
    <w:p w:rsidR="00F8750E" w:rsidRPr="00F8750E" w:rsidRDefault="006072D1" w:rsidP="00BB7ABC">
      <w:pPr>
        <w:rPr>
          <w:lang w:val="en-US"/>
        </w:rPr>
      </w:pPr>
      <w:r>
        <w:rPr>
          <w:lang w:val="en-US"/>
        </w:rPr>
        <w:t>How to choose the options relate to the system request and the BS implement</w:t>
      </w:r>
      <w:r w:rsidR="00042D84">
        <w:rPr>
          <w:lang w:val="en-US"/>
        </w:rPr>
        <w:t>ation</w:t>
      </w:r>
      <w:r>
        <w:rPr>
          <w:lang w:val="en-US"/>
        </w:rPr>
        <w:t xml:space="preserve"> capability.</w:t>
      </w:r>
    </w:p>
    <w:p w:rsidR="00042D84" w:rsidRDefault="00042D84" w:rsidP="00042D84">
      <w:pPr>
        <w:pStyle w:val="3"/>
        <w:rPr>
          <w:lang w:val="en-US"/>
        </w:rPr>
      </w:pPr>
      <w:r>
        <w:rPr>
          <w:lang w:val="en-US"/>
        </w:rPr>
        <w:t>2.1.1 System request consid</w:t>
      </w:r>
      <w:r>
        <w:rPr>
          <w:rFonts w:hint="eastAsia"/>
          <w:lang w:val="en-US"/>
        </w:rPr>
        <w:t>e</w:t>
      </w:r>
      <w:r>
        <w:rPr>
          <w:lang w:val="en-US"/>
        </w:rPr>
        <w:t>ration</w:t>
      </w:r>
    </w:p>
    <w:p w:rsidR="00042D84" w:rsidRDefault="00042D84" w:rsidP="00BB7ABC">
      <w:pPr>
        <w:rPr>
          <w:lang w:val="en-US"/>
        </w:rPr>
      </w:pPr>
      <w:r>
        <w:rPr>
          <w:lang w:val="en-US"/>
        </w:rPr>
        <w:t xml:space="preserve">The followings </w:t>
      </w:r>
      <w:r w:rsidR="00396192">
        <w:rPr>
          <w:lang w:val="en-US"/>
        </w:rPr>
        <w:t>are the two scenarios prioriti</w:t>
      </w:r>
      <w:r w:rsidR="0075068B">
        <w:rPr>
          <w:lang w:val="en-US"/>
        </w:rPr>
        <w:t>zed in RRM discussion according to the LS [2] approved in last RAN4 meeting.</w:t>
      </w:r>
    </w:p>
    <w:p w:rsidR="00396192" w:rsidRPr="00396192" w:rsidRDefault="00396192" w:rsidP="00A375FE">
      <w:pPr>
        <w:numPr>
          <w:ilvl w:val="1"/>
          <w:numId w:val="21"/>
        </w:numPr>
        <w:overflowPunct/>
        <w:autoSpaceDE/>
        <w:autoSpaceDN/>
        <w:adjustRightInd/>
        <w:spacing w:before="0" w:after="180"/>
        <w:jc w:val="left"/>
        <w:textAlignment w:val="auto"/>
        <w:rPr>
          <w:rFonts w:ascii="Arial" w:hAnsi="Arial" w:cs="Arial"/>
          <w:bCs/>
          <w:sz w:val="16"/>
        </w:rPr>
      </w:pPr>
      <w:r w:rsidRPr="00396192">
        <w:rPr>
          <w:rFonts w:ascii="Arial" w:hAnsi="Arial" w:cs="Arial"/>
          <w:bCs/>
          <w:sz w:val="16"/>
        </w:rPr>
        <w:t>Scenario 1: No SSB but with TRS transmission configured on the SSB-less SCell</w:t>
      </w:r>
    </w:p>
    <w:p w:rsidR="00396192" w:rsidRPr="00396192" w:rsidRDefault="00396192" w:rsidP="00A375FE">
      <w:pPr>
        <w:numPr>
          <w:ilvl w:val="1"/>
          <w:numId w:val="21"/>
        </w:numPr>
        <w:overflowPunct/>
        <w:autoSpaceDE/>
        <w:autoSpaceDN/>
        <w:adjustRightInd/>
        <w:spacing w:before="0" w:after="180"/>
        <w:jc w:val="left"/>
        <w:textAlignment w:val="auto"/>
        <w:rPr>
          <w:rFonts w:ascii="Arial" w:hAnsi="Arial" w:cs="Arial"/>
          <w:bCs/>
          <w:sz w:val="16"/>
        </w:rPr>
      </w:pPr>
      <w:r w:rsidRPr="00396192">
        <w:rPr>
          <w:rFonts w:ascii="Arial" w:hAnsi="Arial" w:cs="Arial"/>
          <w:bCs/>
          <w:sz w:val="16"/>
        </w:rPr>
        <w:t>Scenario 2a: No DL transmission but with UL reception at the NW side on the SSB-less SCell.</w:t>
      </w:r>
    </w:p>
    <w:p w:rsidR="00396192" w:rsidRDefault="0075068B" w:rsidP="00BB7ABC">
      <w:pPr>
        <w:rPr>
          <w:lang w:val="en-US"/>
        </w:rPr>
      </w:pPr>
      <w:r>
        <w:rPr>
          <w:lang w:val="en-US"/>
        </w:rPr>
        <w:t>RAN4 is asking if t</w:t>
      </w:r>
      <w:r w:rsidR="00063CC7">
        <w:rPr>
          <w:lang w:val="en-US"/>
        </w:rPr>
        <w:t xml:space="preserve">he Scenario 2a is </w:t>
      </w:r>
      <w:r>
        <w:rPr>
          <w:lang w:val="en-US"/>
        </w:rPr>
        <w:t xml:space="preserve">supported by RAN1/RAN2 specifications. From RF aspect, the above two scenarios may not have much difference. Although TRS can do some help on the timing and frequency misalignment, the SNR of data sampled on Scell should be guaranteed. So the Scell data in the FFT processing window should be sampled correctly. In the BS implementation, windowing or filter processing is used in the Tx path digital operation to solve the out of band emission issue. So in the time domain, there’re some distortions for each OFDM </w:t>
      </w:r>
      <w:r w:rsidR="00222D5D">
        <w:rPr>
          <w:lang w:val="en-US"/>
        </w:rPr>
        <w:t>symbol as shown in Figure 1. I</w:t>
      </w:r>
      <w:r>
        <w:rPr>
          <w:lang w:val="en-US"/>
        </w:rPr>
        <w:t>n the specification</w:t>
      </w:r>
      <w:r w:rsidR="00222D5D">
        <w:rPr>
          <w:lang w:val="en-US"/>
        </w:rPr>
        <w:t xml:space="preserve"> TS 38.104 and TS 38.101, the following descriptions related EVM exist,</w:t>
      </w:r>
    </w:p>
    <w:p w:rsidR="0075068B" w:rsidRPr="00222D5D" w:rsidRDefault="0075068B" w:rsidP="0075068B">
      <w:pPr>
        <w:pStyle w:val="B10"/>
        <w:rPr>
          <w:i/>
        </w:rPr>
      </w:pPr>
      <w:r w:rsidRPr="00222D5D">
        <w:rPr>
          <w:i/>
          <w:iCs/>
          <w:lang w:eastAsia="ko-KR"/>
        </w:rPr>
        <w:t>-</w:t>
      </w:r>
      <w:r w:rsidRPr="00222D5D">
        <w:rPr>
          <w:i/>
          <w:iCs/>
          <w:lang w:eastAsia="ko-KR"/>
        </w:rPr>
        <w:tab/>
      </w:r>
      <w:r w:rsidRPr="00222D5D">
        <w:rPr>
          <w:i/>
        </w:rPr>
        <w:t xml:space="preserve">The </w:t>
      </w:r>
      <m:oMath>
        <m:sSub>
          <m:sSubPr>
            <m:ctrlPr>
              <w:rPr>
                <w:rFonts w:ascii="Cambria Math" w:eastAsia="×–¾’©‘Ì" w:hAnsi="Cambria Math"/>
                <w:i/>
                <w:lang w:eastAsia="en-US"/>
              </w:rPr>
            </m:ctrlPr>
          </m:sSubPr>
          <m:e>
            <m:r>
              <w:rPr>
                <w:rFonts w:ascii="Cambria Math" w:eastAsia="×–¾’©‘Ì" w:hAnsi="Cambria Math"/>
              </w:rPr>
              <m:t>EVM</m:t>
            </m:r>
          </m:e>
          <m:sub>
            <m:r>
              <w:rPr>
                <w:rFonts w:ascii="Cambria Math" w:eastAsia="×–¾’©‘Ì" w:hAnsi="Cambria Math"/>
              </w:rPr>
              <m:t>frame</m:t>
            </m:r>
          </m:sub>
        </m:sSub>
      </m:oMath>
      <w:r w:rsidRPr="00222D5D">
        <w:rPr>
          <w:i/>
        </w:rPr>
        <w:t xml:space="preserve"> is calculated, using the maximum of </w:t>
      </w:r>
      <m:oMath>
        <m:sSub>
          <m:sSubPr>
            <m:ctrlPr>
              <w:rPr>
                <w:rFonts w:ascii="Cambria Math" w:eastAsia="×–¾’©‘Ì" w:hAnsi="Cambria Math"/>
                <w:i/>
                <w:lang w:eastAsia="en-US"/>
              </w:rPr>
            </m:ctrlPr>
          </m:sSubPr>
          <m:e>
            <m:acc>
              <m:accPr>
                <m:chr m:val="̅"/>
                <m:ctrlPr>
                  <w:rPr>
                    <w:rFonts w:ascii="Cambria Math" w:eastAsia="×–¾’©‘Ì" w:hAnsi="Cambria Math"/>
                    <w:i/>
                    <w:lang w:eastAsia="en-US"/>
                  </w:rPr>
                </m:ctrlPr>
              </m:accPr>
              <m:e>
                <m:r>
                  <w:rPr>
                    <w:rFonts w:ascii="Cambria Math" w:eastAsia="×–¾’©‘Ì" w:hAnsi="Cambria Math"/>
                  </w:rPr>
                  <m:t>EVM</m:t>
                </m:r>
              </m:e>
            </m:acc>
          </m:e>
          <m:sub>
            <m:r>
              <w:rPr>
                <w:rFonts w:ascii="Cambria Math" w:eastAsia="×–¾’©‘Ì" w:hAnsi="Cambria Math"/>
              </w:rPr>
              <m:t>frame</m:t>
            </m:r>
          </m:sub>
        </m:sSub>
      </m:oMath>
      <w:r w:rsidRPr="00222D5D">
        <w:rPr>
          <w:i/>
        </w:rPr>
        <w:t xml:space="preserve"> at the window W extremities. Thus </w:t>
      </w:r>
      <m:oMath>
        <m:sSub>
          <m:sSubPr>
            <m:ctrlPr>
              <w:rPr>
                <w:rFonts w:ascii="Cambria Math" w:eastAsia="×–¾’©‘Ì" w:hAnsi="Cambria Math"/>
                <w:i/>
                <w:lang w:eastAsia="en-US"/>
              </w:rPr>
            </m:ctrlPr>
          </m:sSubPr>
          <m:e>
            <m:acc>
              <m:accPr>
                <m:chr m:val="̅"/>
                <m:ctrlPr>
                  <w:rPr>
                    <w:rFonts w:ascii="Cambria Math" w:eastAsia="×–¾’©‘Ì" w:hAnsi="Cambria Math"/>
                    <w:i/>
                    <w:lang w:eastAsia="en-US"/>
                  </w:rPr>
                </m:ctrlPr>
              </m:accPr>
              <m:e>
                <m:r>
                  <w:rPr>
                    <w:rFonts w:ascii="Cambria Math" w:eastAsia="×–¾’©‘Ì" w:hAnsi="Cambria Math"/>
                  </w:rPr>
                  <m:t>EVM</m:t>
                </m:r>
              </m:e>
            </m:acc>
          </m:e>
          <m:sub>
            <m:r>
              <w:rPr>
                <w:rFonts w:ascii="Cambria Math" w:eastAsia="×–¾’©‘Ì" w:hAnsi="Cambria Math"/>
              </w:rPr>
              <m:t>frame,l</m:t>
            </m:r>
          </m:sub>
        </m:sSub>
      </m:oMath>
      <w:r w:rsidRPr="00222D5D">
        <w:rPr>
          <w:i/>
        </w:rPr>
        <w:t xml:space="preserve"> is calculated using </w:t>
      </w:r>
      <m:oMath>
        <m:acc>
          <m:accPr>
            <m:chr m:val="̃"/>
            <m:ctrlPr>
              <w:rPr>
                <w:rFonts w:ascii="Cambria Math" w:eastAsiaTheme="minorEastAsia" w:hAnsi="Cambria Math"/>
                <w:i/>
                <w:lang w:eastAsia="en-US"/>
              </w:rPr>
            </m:ctrlPr>
          </m:accPr>
          <m:e>
            <m:r>
              <w:rPr>
                <w:rFonts w:ascii="Cambria Math" w:hAnsi="Cambria Math"/>
              </w:rPr>
              <m:t>t</m:t>
            </m:r>
          </m:e>
        </m:acc>
        <m:r>
          <w:rPr>
            <w:rFonts w:ascii="Cambria Math" w:hAnsi="Cambria Math"/>
          </w:rPr>
          <m:t>=∆</m:t>
        </m:r>
        <m:sSub>
          <m:sSubPr>
            <m:ctrlPr>
              <w:rPr>
                <w:rFonts w:ascii="Cambria Math" w:eastAsiaTheme="minorEastAsia" w:hAnsi="Cambria Math"/>
                <w:i/>
                <w:lang w:eastAsia="en-US"/>
              </w:rPr>
            </m:ctrlPr>
          </m:sSubPr>
          <m:e>
            <m:acc>
              <m:accPr>
                <m:chr m:val="̃"/>
                <m:ctrlPr>
                  <w:rPr>
                    <w:rFonts w:ascii="Cambria Math" w:eastAsiaTheme="minorEastAsia" w:hAnsi="Cambria Math"/>
                    <w:i/>
                    <w:lang w:eastAsia="en-US"/>
                  </w:rPr>
                </m:ctrlPr>
              </m:accPr>
              <m:e>
                <m:r>
                  <w:rPr>
                    <w:rFonts w:ascii="Cambria Math" w:hAnsi="Cambria Math"/>
                  </w:rPr>
                  <m:t>t</m:t>
                </m:r>
              </m:e>
            </m:acc>
          </m:e>
          <m:sub>
            <m:r>
              <w:rPr>
                <w:rFonts w:ascii="Cambria Math" w:hAnsi="Cambria Math"/>
              </w:rPr>
              <m:t>l</m:t>
            </m:r>
          </m:sub>
        </m:sSub>
      </m:oMath>
      <w:r w:rsidRPr="00222D5D">
        <w:rPr>
          <w:i/>
        </w:rPr>
        <w:t xml:space="preserve"> and </w:t>
      </w:r>
      <m:oMath>
        <m:sSub>
          <m:sSubPr>
            <m:ctrlPr>
              <w:rPr>
                <w:rFonts w:ascii="Cambria Math" w:eastAsia="×–¾’©‘Ì" w:hAnsi="Cambria Math"/>
                <w:i/>
                <w:lang w:eastAsia="en-US"/>
              </w:rPr>
            </m:ctrlPr>
          </m:sSubPr>
          <m:e>
            <m:acc>
              <m:accPr>
                <m:chr m:val="̅"/>
                <m:ctrlPr>
                  <w:rPr>
                    <w:rFonts w:ascii="Cambria Math" w:eastAsia="×–¾’©‘Ì" w:hAnsi="Cambria Math"/>
                    <w:i/>
                    <w:lang w:eastAsia="en-US"/>
                  </w:rPr>
                </m:ctrlPr>
              </m:accPr>
              <m:e>
                <m:r>
                  <w:rPr>
                    <w:rFonts w:ascii="Cambria Math" w:eastAsia="×–¾’©‘Ì" w:hAnsi="Cambria Math"/>
                  </w:rPr>
                  <m:t>EVM</m:t>
                </m:r>
              </m:e>
            </m:acc>
          </m:e>
          <m:sub>
            <m:r>
              <w:rPr>
                <w:rFonts w:ascii="Cambria Math" w:eastAsia="×–¾’©‘Ì" w:hAnsi="Cambria Math"/>
              </w:rPr>
              <m:t>frame,h</m:t>
            </m:r>
          </m:sub>
        </m:sSub>
      </m:oMath>
      <w:r w:rsidRPr="00222D5D">
        <w:rPr>
          <w:rFonts w:eastAsia="×–¾’©‘Ì"/>
          <w:i/>
        </w:rPr>
        <w:t xml:space="preserve"> i</w:t>
      </w:r>
      <w:r w:rsidRPr="00222D5D">
        <w:rPr>
          <w:i/>
        </w:rPr>
        <w:t xml:space="preserve">s calculated using </w:t>
      </w:r>
      <m:oMath>
        <m:acc>
          <m:accPr>
            <m:chr m:val="̃"/>
            <m:ctrlPr>
              <w:rPr>
                <w:rFonts w:ascii="Cambria Math" w:eastAsiaTheme="minorEastAsia" w:hAnsi="Cambria Math"/>
                <w:i/>
                <w:lang w:eastAsia="en-US"/>
              </w:rPr>
            </m:ctrlPr>
          </m:accPr>
          <m:e>
            <m:r>
              <w:rPr>
                <w:rFonts w:ascii="Cambria Math" w:hAnsi="Cambria Math"/>
              </w:rPr>
              <m:t>t</m:t>
            </m:r>
          </m:e>
        </m:acc>
        <m:r>
          <w:rPr>
            <w:rFonts w:ascii="Cambria Math" w:hAnsi="Cambria Math"/>
          </w:rPr>
          <m:t>=∆</m:t>
        </m:r>
        <m:sSub>
          <m:sSubPr>
            <m:ctrlPr>
              <w:rPr>
                <w:rFonts w:ascii="Cambria Math" w:eastAsiaTheme="minorEastAsia" w:hAnsi="Cambria Math"/>
                <w:i/>
                <w:lang w:eastAsia="en-US"/>
              </w:rPr>
            </m:ctrlPr>
          </m:sSubPr>
          <m:e>
            <m:acc>
              <m:accPr>
                <m:chr m:val="̃"/>
                <m:ctrlPr>
                  <w:rPr>
                    <w:rFonts w:ascii="Cambria Math" w:eastAsiaTheme="minorEastAsia" w:hAnsi="Cambria Math"/>
                    <w:i/>
                    <w:lang w:eastAsia="en-US"/>
                  </w:rPr>
                </m:ctrlPr>
              </m:accPr>
              <m:e>
                <m:r>
                  <w:rPr>
                    <w:rFonts w:ascii="Cambria Math" w:hAnsi="Cambria Math"/>
                  </w:rPr>
                  <m:t>t</m:t>
                </m:r>
              </m:e>
            </m:acc>
          </m:e>
          <m:sub>
            <m:r>
              <w:rPr>
                <w:rFonts w:ascii="Cambria Math" w:hAnsi="Cambria Math"/>
              </w:rPr>
              <m:t>h</m:t>
            </m:r>
          </m:sub>
        </m:sSub>
      </m:oMath>
      <w:r w:rsidRPr="00222D5D">
        <w:rPr>
          <w:i/>
        </w:rPr>
        <w:t xml:space="preserve"> (l and h, low and high; where low is the timing </w:t>
      </w:r>
      <m:oMath>
        <m:d>
          <m:dPr>
            <m:ctrlPr>
              <w:rPr>
                <w:rFonts w:ascii="Cambria Math" w:eastAsiaTheme="minorEastAsia" w:hAnsi="Cambria Math"/>
                <w:i/>
                <w:lang w:eastAsia="en-US"/>
              </w:rPr>
            </m:ctrlPr>
          </m:dPr>
          <m:e>
            <m:r>
              <w:rPr>
                <w:rFonts w:ascii="Cambria Math" w:hAnsi="Cambria Math"/>
              </w:rPr>
              <m:t>∆c-W/2</m:t>
            </m:r>
          </m:e>
        </m:d>
      </m:oMath>
      <w:r w:rsidRPr="00222D5D">
        <w:rPr>
          <w:i/>
          <w:noProof/>
        </w:rPr>
        <w:t xml:space="preserve"> and and high is the timing </w:t>
      </w:r>
      <m:oMath>
        <m:d>
          <m:dPr>
            <m:ctrlPr>
              <w:rPr>
                <w:rFonts w:ascii="Cambria Math" w:eastAsiaTheme="minorEastAsia" w:hAnsi="Cambria Math"/>
                <w:i/>
                <w:lang w:eastAsia="en-US"/>
              </w:rPr>
            </m:ctrlPr>
          </m:dPr>
          <m:e>
            <m:r>
              <w:rPr>
                <w:rFonts w:ascii="Cambria Math" w:hAnsi="Cambria Math"/>
              </w:rPr>
              <m:t>∆c+W/2</m:t>
            </m:r>
          </m:e>
        </m:d>
      </m:oMath>
      <w:r w:rsidRPr="00222D5D">
        <w:rPr>
          <w:i/>
          <w:noProof/>
        </w:rPr>
        <w:t>)</w:t>
      </w:r>
      <w:r w:rsidRPr="00222D5D">
        <w:rPr>
          <w:i/>
        </w:rPr>
        <w:t>.</w:t>
      </w:r>
    </w:p>
    <w:p w:rsidR="0075068B" w:rsidRPr="00222D5D" w:rsidRDefault="009F1E5F" w:rsidP="0075068B">
      <w:pPr>
        <w:pStyle w:val="EQ"/>
        <w:jc w:val="center"/>
        <w:rPr>
          <w:i/>
          <w:iCs/>
        </w:rPr>
      </w:pPr>
      <m:oMathPara>
        <m:oMath>
          <m:sSub>
            <m:sSubPr>
              <m:ctrlPr>
                <w:rPr>
                  <w:rFonts w:ascii="Cambria Math" w:eastAsia="×–¾’©‘Ì" w:hAnsi="Cambria Math"/>
                  <w:i/>
                </w:rPr>
              </m:ctrlPr>
            </m:sSubPr>
            <m:e>
              <m:r>
                <w:rPr>
                  <w:rFonts w:ascii="Cambria Math" w:eastAsia="×–¾’©‘Ì" w:hAnsi="Cambria Math"/>
                </w:rPr>
                <m:t>EVM</m:t>
              </m:r>
            </m:e>
            <m:sub>
              <m: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w:rPr>
                          <w:rFonts w:ascii="Cambria Math" w:eastAsia="×–¾’©‘Ì" w:hAnsi="Cambria Math"/>
                        </w:rPr>
                        <m:t>frame,h</m:t>
                      </m:r>
                    </m:sub>
                  </m:sSub>
                </m:e>
              </m:d>
            </m:e>
          </m:func>
        </m:oMath>
      </m:oMathPara>
    </w:p>
    <w:p w:rsidR="0075068B" w:rsidRDefault="0075068B" w:rsidP="00BB7ABC">
      <w:pPr>
        <w:rPr>
          <w:i/>
        </w:rPr>
      </w:pPr>
      <w:r w:rsidRPr="00222D5D">
        <w:rPr>
          <w:i/>
          <w:sz w:val="20"/>
          <w:szCs w:val="20"/>
          <w:lang w:eastAsia="ja-JP"/>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55pt" o:ole="" fillcolor="window">
            <v:imagedata r:id="rId9" o:title=""/>
          </v:shape>
          <o:OLEObject Type="Embed" ProgID="Equation.3" ShapeID="_x0000_i1025" DrawAspect="Content" ObjectID="_1753285657" r:id="rId10"/>
        </w:object>
      </w:r>
      <w:r w:rsidRPr="00222D5D">
        <w:rPr>
          <w:i/>
          <w:sz w:val="20"/>
          <w:szCs w:val="20"/>
          <w:lang w:eastAsia="ja-JP"/>
        </w:rPr>
        <w:t>is estimated so that the EVM window of length W is centred on the measured cyclic prefix of the considered</w:t>
      </w:r>
      <w:r w:rsidRPr="00222D5D">
        <w:rPr>
          <w:i/>
        </w:rPr>
        <w:t xml:space="preserve"> OFDM symbol.</w:t>
      </w:r>
    </w:p>
    <w:p w:rsidR="00222D5D" w:rsidRPr="00222D5D" w:rsidRDefault="00222D5D" w:rsidP="00BB7ABC">
      <w:pPr>
        <w:rPr>
          <w:i/>
        </w:rPr>
      </w:pPr>
    </w:p>
    <w:p w:rsidR="0075068B" w:rsidRPr="00063CC7" w:rsidRDefault="0075068B" w:rsidP="00BB7ABC">
      <w:pPr>
        <w:rPr>
          <w:lang w:val="en-US"/>
        </w:rPr>
      </w:pPr>
      <w:r>
        <w:t>The length W for FR1 is shown in the following tables copied from TS 38.104.</w:t>
      </w:r>
    </w:p>
    <w:p w:rsidR="0075068B" w:rsidRDefault="0075068B" w:rsidP="0075068B">
      <w:pPr>
        <w:pStyle w:val="TH"/>
      </w:pPr>
      <w:r>
        <w:lastRenderedPageBreak/>
        <w:t>Table B.5.2-1: EVM window length for normal CP, FR1, 15 kHz SCS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75068B" w:rsidTr="00797BC8">
        <w:trPr>
          <w:cantSplit/>
        </w:trPr>
        <w:tc>
          <w:tcPr>
            <w:tcW w:w="165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CP length for symbols 1</w:t>
            </w:r>
            <w:r>
              <w:rPr>
                <w:rFonts w:cs="Arial"/>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 xml:space="preserve">EVM window length </w:t>
            </w:r>
            <w:r>
              <w:rPr>
                <w:rFonts w:cs="Arial"/>
                <w:i/>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75068B" w:rsidTr="00797BC8">
        <w:trPr>
          <w:cantSplit/>
        </w:trPr>
        <w:tc>
          <w:tcPr>
            <w:tcW w:w="165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Calibri"/>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40</w:t>
            </w:r>
          </w:p>
        </w:tc>
      </w:tr>
      <w:tr w:rsidR="008D05B1" w:rsidTr="00AC7B09">
        <w:trPr>
          <w:cantSplit/>
        </w:trPr>
        <w:tc>
          <w:tcPr>
            <w:tcW w:w="8573" w:type="dxa"/>
            <w:gridSpan w:val="5"/>
            <w:tcBorders>
              <w:top w:val="single" w:sz="4" w:space="0" w:color="auto"/>
              <w:left w:val="single" w:sz="4" w:space="0" w:color="auto"/>
              <w:bottom w:val="single" w:sz="4" w:space="0" w:color="auto"/>
              <w:right w:val="single" w:sz="4" w:space="0" w:color="auto"/>
            </w:tcBorders>
            <w:vAlign w:val="center"/>
          </w:tcPr>
          <w:p w:rsidR="008D05B1" w:rsidRDefault="008D05B1" w:rsidP="00797BC8">
            <w:pPr>
              <w:pStyle w:val="TAC"/>
              <w:rPr>
                <w:rFonts w:cs="Arial"/>
              </w:rPr>
            </w:pPr>
            <w:r>
              <w:rPr>
                <w:rFonts w:cs="Arial"/>
              </w:rPr>
              <w:t>……</w:t>
            </w:r>
          </w:p>
        </w:tc>
      </w:tr>
      <w:tr w:rsidR="0075068B" w:rsidTr="00797BC8">
        <w:trPr>
          <w:cantSplit/>
        </w:trPr>
        <w:tc>
          <w:tcPr>
            <w:tcW w:w="165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72</w:t>
            </w:r>
          </w:p>
        </w:tc>
        <w:tc>
          <w:tcPr>
            <w:tcW w:w="2264"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50</w:t>
            </w:r>
          </w:p>
        </w:tc>
      </w:tr>
      <w:tr w:rsidR="008D05B1" w:rsidTr="00C874EC">
        <w:trPr>
          <w:cantSplit/>
        </w:trPr>
        <w:tc>
          <w:tcPr>
            <w:tcW w:w="8573" w:type="dxa"/>
            <w:gridSpan w:val="5"/>
            <w:tcBorders>
              <w:top w:val="single" w:sz="4" w:space="0" w:color="auto"/>
              <w:left w:val="single" w:sz="4" w:space="0" w:color="auto"/>
              <w:bottom w:val="single" w:sz="4" w:space="0" w:color="auto"/>
              <w:right w:val="single" w:sz="4" w:space="0" w:color="auto"/>
            </w:tcBorders>
            <w:vAlign w:val="center"/>
          </w:tcPr>
          <w:p w:rsidR="008D05B1" w:rsidRDefault="008D05B1" w:rsidP="00797BC8">
            <w:pPr>
              <w:pStyle w:val="TAC"/>
              <w:rPr>
                <w:rFonts w:cs="Arial"/>
              </w:rPr>
            </w:pPr>
            <w:r>
              <w:rPr>
                <w:rFonts w:cs="Arial"/>
              </w:rPr>
              <w:t>……</w:t>
            </w:r>
          </w:p>
        </w:tc>
      </w:tr>
    </w:tbl>
    <w:p w:rsidR="0075068B" w:rsidRDefault="0075068B" w:rsidP="0075068B">
      <w:pPr>
        <w:rPr>
          <w:rFonts w:eastAsiaTheme="minorEastAsia"/>
          <w:sz w:val="20"/>
          <w:szCs w:val="20"/>
          <w:lang w:eastAsia="en-US"/>
        </w:rPr>
      </w:pPr>
    </w:p>
    <w:p w:rsidR="0075068B" w:rsidRDefault="0075068B" w:rsidP="0075068B">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tblGrid>
      <w:tr w:rsidR="0075068B" w:rsidTr="00CA52D9">
        <w:trPr>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Channel</w:t>
            </w:r>
            <w:r>
              <w:rPr>
                <w:rFonts w:cs="Arial"/>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CP length for symbols 1</w:t>
            </w:r>
            <w:r>
              <w:rPr>
                <w:rFonts w:cs="Arial"/>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 xml:space="preserve">EVM window length </w:t>
            </w:r>
            <w:r>
              <w:rPr>
                <w:rFonts w:cs="Arial"/>
                <w:i/>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13 (Note) (%)</w:t>
            </w:r>
          </w:p>
        </w:tc>
      </w:tr>
      <w:tr w:rsidR="0075068B" w:rsidTr="00CA52D9">
        <w:trPr>
          <w:cantSplit/>
          <w:jc w:val="center"/>
        </w:trPr>
        <w:tc>
          <w:tcPr>
            <w:tcW w:w="1661"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5</w:t>
            </w:r>
          </w:p>
        </w:tc>
        <w:tc>
          <w:tcPr>
            <w:tcW w:w="1175"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256</w:t>
            </w:r>
          </w:p>
        </w:tc>
        <w:tc>
          <w:tcPr>
            <w:tcW w:w="1982"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18</w:t>
            </w:r>
          </w:p>
        </w:tc>
        <w:tc>
          <w:tcPr>
            <w:tcW w:w="1469"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C"/>
              <w:rPr>
                <w:rFonts w:cs="Arial"/>
              </w:rPr>
            </w:pPr>
            <w:r>
              <w:rPr>
                <w:rFonts w:cs="Arial"/>
              </w:rPr>
              <w:t>8</w:t>
            </w:r>
          </w:p>
        </w:tc>
        <w:tc>
          <w:tcPr>
            <w:tcW w:w="2294"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rPr>
                <w:rFonts w:cs="Arial"/>
              </w:rPr>
              <w:t>40</w:t>
            </w:r>
          </w:p>
        </w:tc>
      </w:tr>
      <w:tr w:rsidR="008D05B1" w:rsidTr="00B83112">
        <w:trPr>
          <w:cantSplit/>
          <w:jc w:val="center"/>
        </w:trPr>
        <w:tc>
          <w:tcPr>
            <w:tcW w:w="8581" w:type="dxa"/>
            <w:gridSpan w:val="5"/>
            <w:tcBorders>
              <w:top w:val="single" w:sz="4" w:space="0" w:color="auto"/>
              <w:left w:val="single" w:sz="4" w:space="0" w:color="auto"/>
              <w:bottom w:val="single" w:sz="4" w:space="0" w:color="auto"/>
              <w:right w:val="single" w:sz="4" w:space="0" w:color="auto"/>
            </w:tcBorders>
          </w:tcPr>
          <w:p w:rsidR="008D05B1" w:rsidRDefault="008D05B1" w:rsidP="00CA52D9">
            <w:pPr>
              <w:pStyle w:val="TAC"/>
              <w:rPr>
                <w:rFonts w:cs="Arial"/>
              </w:rPr>
            </w:pPr>
            <w:r>
              <w:rPr>
                <w:rFonts w:cs="Arial"/>
              </w:rPr>
              <w:t>……</w:t>
            </w:r>
          </w:p>
        </w:tc>
      </w:tr>
      <w:tr w:rsidR="0075068B" w:rsidTr="00CA52D9">
        <w:trPr>
          <w:cantSplit/>
          <w:jc w:val="center"/>
        </w:trPr>
        <w:tc>
          <w:tcPr>
            <w:tcW w:w="1661"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25</w:t>
            </w:r>
          </w:p>
        </w:tc>
        <w:tc>
          <w:tcPr>
            <w:tcW w:w="1175"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C"/>
              <w:rPr>
                <w:rFonts w:cs="Arial"/>
              </w:rPr>
            </w:pPr>
            <w:r>
              <w:rPr>
                <w:rFonts w:cs="Arial"/>
              </w:rPr>
              <w:t>36</w:t>
            </w:r>
          </w:p>
        </w:tc>
        <w:tc>
          <w:tcPr>
            <w:tcW w:w="2294"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rPr>
                <w:rFonts w:cs="Arial"/>
              </w:rPr>
              <w:t>50</w:t>
            </w:r>
          </w:p>
        </w:tc>
      </w:tr>
      <w:tr w:rsidR="008D05B1" w:rsidTr="00C6528A">
        <w:trPr>
          <w:cantSplit/>
          <w:jc w:val="center"/>
        </w:trPr>
        <w:tc>
          <w:tcPr>
            <w:tcW w:w="8581" w:type="dxa"/>
            <w:gridSpan w:val="5"/>
            <w:tcBorders>
              <w:top w:val="single" w:sz="4" w:space="0" w:color="auto"/>
              <w:left w:val="single" w:sz="4" w:space="0" w:color="auto"/>
              <w:bottom w:val="single" w:sz="4" w:space="0" w:color="auto"/>
              <w:right w:val="single" w:sz="4" w:space="0" w:color="auto"/>
            </w:tcBorders>
          </w:tcPr>
          <w:p w:rsidR="008D05B1" w:rsidRDefault="008D05B1" w:rsidP="00CA52D9">
            <w:pPr>
              <w:pStyle w:val="TAC"/>
              <w:rPr>
                <w:rFonts w:cs="Arial"/>
              </w:rPr>
            </w:pPr>
            <w:r>
              <w:rPr>
                <w:rFonts w:cs="Arial"/>
              </w:rPr>
              <w:t>……</w:t>
            </w:r>
          </w:p>
        </w:tc>
      </w:tr>
      <w:tr w:rsidR="0075068B" w:rsidTr="00CA52D9">
        <w:trPr>
          <w:cantSplit/>
          <w:jc w:val="center"/>
        </w:trPr>
        <w:tc>
          <w:tcPr>
            <w:tcW w:w="1661"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60</w:t>
            </w:r>
          </w:p>
        </w:tc>
        <w:tc>
          <w:tcPr>
            <w:tcW w:w="1175"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Calibri"/>
                <w:szCs w:val="18"/>
                <w:lang w:val="en-US"/>
              </w:rPr>
            </w:pPr>
            <w:r>
              <w:rPr>
                <w:rFonts w:cs="Calibri"/>
                <w:szCs w:val="18"/>
                <w:lang w:val="en-US"/>
              </w:rPr>
              <w:t>60</w:t>
            </w:r>
          </w:p>
        </w:tc>
      </w:tr>
      <w:tr w:rsidR="008D05B1" w:rsidTr="0033167E">
        <w:trPr>
          <w:cantSplit/>
          <w:jc w:val="center"/>
        </w:trPr>
        <w:tc>
          <w:tcPr>
            <w:tcW w:w="8581" w:type="dxa"/>
            <w:gridSpan w:val="5"/>
            <w:tcBorders>
              <w:top w:val="single" w:sz="4" w:space="0" w:color="auto"/>
              <w:left w:val="single" w:sz="4" w:space="0" w:color="auto"/>
              <w:bottom w:val="single" w:sz="4" w:space="0" w:color="auto"/>
              <w:right w:val="single" w:sz="4" w:space="0" w:color="auto"/>
            </w:tcBorders>
          </w:tcPr>
          <w:p w:rsidR="008D05B1" w:rsidRDefault="008D05B1" w:rsidP="00CA52D9">
            <w:pPr>
              <w:pStyle w:val="TAC"/>
              <w:rPr>
                <w:rFonts w:cs="Calibri"/>
                <w:szCs w:val="18"/>
                <w:lang w:val="en-US"/>
              </w:rPr>
            </w:pPr>
            <w:r>
              <w:rPr>
                <w:rFonts w:cs="Calibri"/>
                <w:szCs w:val="18"/>
                <w:lang w:val="en-US"/>
              </w:rPr>
              <w:t>……</w:t>
            </w:r>
          </w:p>
        </w:tc>
      </w:tr>
    </w:tbl>
    <w:p w:rsidR="0075068B" w:rsidRDefault="0075068B" w:rsidP="0075068B">
      <w:pPr>
        <w:rPr>
          <w:lang w:val="en-US"/>
        </w:rPr>
      </w:pPr>
    </w:p>
    <w:p w:rsidR="00222D5D" w:rsidRDefault="00222D5D" w:rsidP="0075068B">
      <w:pPr>
        <w:rPr>
          <w:lang w:val="en-US"/>
        </w:rPr>
      </w:pPr>
    </w:p>
    <w:p w:rsidR="00222D5D" w:rsidRDefault="00222D5D" w:rsidP="00222D5D">
      <w:pPr>
        <w:jc w:val="center"/>
        <w:rPr>
          <w:lang w:val="en-US"/>
        </w:rPr>
      </w:pPr>
      <w:r>
        <w:rPr>
          <w:noProof/>
          <w:lang w:val="en-US"/>
        </w:rPr>
        <w:drawing>
          <wp:inline distT="0" distB="0" distL="0" distR="0" wp14:anchorId="6333B70C" wp14:editId="520238E0">
            <wp:extent cx="2931459" cy="28663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2122" cy="2866982"/>
                    </a:xfrm>
                    <a:prstGeom prst="rect">
                      <a:avLst/>
                    </a:prstGeom>
                    <a:noFill/>
                  </pic:spPr>
                </pic:pic>
              </a:graphicData>
            </a:graphic>
          </wp:inline>
        </w:drawing>
      </w:r>
    </w:p>
    <w:p w:rsidR="00222D5D" w:rsidRPr="003A56D9" w:rsidRDefault="00222D5D" w:rsidP="00222D5D">
      <w:pPr>
        <w:jc w:val="center"/>
        <w:rPr>
          <w:lang w:val="en-US"/>
        </w:rPr>
      </w:pPr>
      <w:r>
        <w:rPr>
          <w:lang w:val="en-US"/>
        </w:rPr>
        <w:t>Figure1: FFT window and Pcell/Scell timing</w:t>
      </w:r>
    </w:p>
    <w:p w:rsidR="0075068B" w:rsidRDefault="0075068B" w:rsidP="00BB7ABC">
      <w:pPr>
        <w:rPr>
          <w:lang w:val="en-US"/>
        </w:rPr>
      </w:pPr>
      <w:r>
        <w:rPr>
          <w:lang w:val="en-US"/>
        </w:rPr>
        <w:t>As shown in</w:t>
      </w:r>
      <w:r w:rsidR="00F75D90">
        <w:rPr>
          <w:lang w:val="en-US"/>
        </w:rPr>
        <w:t xml:space="preserve"> the Figure 1, the time tolerance </w:t>
      </w:r>
      <w:r w:rsidR="00222D5D">
        <w:rPr>
          <w:lang w:val="en-US"/>
        </w:rPr>
        <w:t>(</w:t>
      </w:r>
      <w:r>
        <w:rPr>
          <w:lang w:val="en-US"/>
        </w:rPr>
        <w:t>the lowest FFT processing window</w:t>
      </w:r>
      <w:r w:rsidR="00222D5D">
        <w:rPr>
          <w:lang w:val="en-US"/>
        </w:rPr>
        <w:t>)</w:t>
      </w:r>
      <w:r w:rsidR="0094317D">
        <w:rPr>
          <w:lang w:val="en-US"/>
        </w:rPr>
        <w:t>/</w:t>
      </w:r>
      <w:r w:rsidR="00222D5D">
        <w:rPr>
          <w:lang w:val="en-US"/>
        </w:rPr>
        <w:t>(</w:t>
      </w:r>
      <w:r w:rsidR="0094317D">
        <w:rPr>
          <w:lang w:val="en-US"/>
        </w:rPr>
        <w:t>t</w:t>
      </w:r>
      <w:r>
        <w:rPr>
          <w:lang w:val="en-US"/>
        </w:rPr>
        <w:t>he highest FFT processing window</w:t>
      </w:r>
      <w:r w:rsidR="00222D5D">
        <w:rPr>
          <w:lang w:val="en-US"/>
        </w:rPr>
        <w:t>)</w:t>
      </w:r>
      <w:r>
        <w:rPr>
          <w:lang w:val="en-US"/>
        </w:rPr>
        <w:t xml:space="preserve"> </w:t>
      </w:r>
      <w:r w:rsidR="0094317D">
        <w:rPr>
          <w:lang w:val="en-US"/>
        </w:rPr>
        <w:t>and</w:t>
      </w:r>
      <w:r w:rsidR="00F75D90">
        <w:rPr>
          <w:lang w:val="en-US"/>
        </w:rPr>
        <w:t xml:space="preserve"> </w:t>
      </w:r>
      <w:r w:rsidR="00222D5D">
        <w:rPr>
          <w:lang w:val="en-US"/>
        </w:rPr>
        <w:t>(</w:t>
      </w:r>
      <w:r w:rsidR="00F75D90">
        <w:rPr>
          <w:lang w:val="en-US"/>
        </w:rPr>
        <w:t>the center FFT processing window</w:t>
      </w:r>
      <w:r w:rsidR="00222D5D">
        <w:rPr>
          <w:lang w:val="en-US"/>
        </w:rPr>
        <w:t>)</w:t>
      </w:r>
      <w:r w:rsidR="00F75D90">
        <w:rPr>
          <w:lang w:val="en-US"/>
        </w:rPr>
        <w:t xml:space="preserve"> is half of </w:t>
      </w:r>
      <w:r>
        <w:rPr>
          <w:lang w:val="en-US"/>
        </w:rPr>
        <w:t>the length of W.</w:t>
      </w:r>
      <w:r w:rsidR="00F75D90">
        <w:rPr>
          <w:lang w:val="en-US"/>
        </w:rPr>
        <w:t xml:space="preserve"> </w:t>
      </w:r>
      <w:r w:rsidR="0094317D">
        <w:rPr>
          <w:lang w:val="en-US"/>
        </w:rPr>
        <w:t>So f</w:t>
      </w:r>
      <w:r w:rsidR="00F75D90">
        <w:rPr>
          <w:lang w:val="en-US"/>
        </w:rPr>
        <w:t xml:space="preserve">or the Scell, when the timing for the center FFT processing window is selected, the TAE </w:t>
      </w:r>
      <w:r w:rsidR="0094317D">
        <w:rPr>
          <w:lang w:val="en-US"/>
        </w:rPr>
        <w:t>allowed is equal to</w:t>
      </w:r>
      <w:r w:rsidR="00F75D90">
        <w:rPr>
          <w:lang w:val="en-US"/>
        </w:rPr>
        <w:t xml:space="preserve"> half of W. The timing of the center FFT processing window for Scell can have some offset between Pcell and Scell based on the implementation. </w:t>
      </w:r>
      <w:r w:rsidR="0094317D">
        <w:rPr>
          <w:lang w:val="en-US"/>
        </w:rPr>
        <w:t>But</w:t>
      </w:r>
      <w:r w:rsidR="00F75D90">
        <w:rPr>
          <w:lang w:val="en-US"/>
        </w:rPr>
        <w:t xml:space="preserve"> the time tolerance is </w:t>
      </w:r>
      <w:r w:rsidR="0094317D">
        <w:rPr>
          <w:lang w:val="en-US"/>
        </w:rPr>
        <w:t>not changed based on the time domain data SNR quality.</w:t>
      </w:r>
      <w:r w:rsidR="00F75D90">
        <w:rPr>
          <w:lang w:val="en-US"/>
        </w:rPr>
        <w:t xml:space="preserve"> Scell timing may be ad</w:t>
      </w:r>
      <w:r w:rsidR="00F75D90">
        <w:rPr>
          <w:rFonts w:hint="eastAsia"/>
          <w:lang w:val="en-US"/>
        </w:rPr>
        <w:t xml:space="preserve">vanced or delayed of Pcell timing </w:t>
      </w:r>
      <w:r w:rsidR="0094317D">
        <w:rPr>
          <w:lang w:val="en-US"/>
        </w:rPr>
        <w:t>according to UE FFT processing window chosen strategy. The Scell timing should be selected referring to the center FFT processing window to allow the TAE for both sides.</w:t>
      </w:r>
    </w:p>
    <w:p w:rsidR="00A16BB4" w:rsidRPr="00F34FA0" w:rsidRDefault="00A16BB4" w:rsidP="00BB7ABC">
      <w:pPr>
        <w:rPr>
          <w:b/>
          <w:lang w:val="en-US"/>
        </w:rPr>
      </w:pPr>
      <w:r w:rsidRPr="00F34FA0">
        <w:rPr>
          <w:b/>
          <w:lang w:val="en-US"/>
        </w:rPr>
        <w:t xml:space="preserve">Observation 1: The lowest time edge and the highest time edge of the FFT processing windows for the one symbol is the length of </w:t>
      </w:r>
      <w:r w:rsidR="00C16CFB" w:rsidRPr="00F34FA0">
        <w:rPr>
          <w:b/>
          <w:lang w:val="en-US"/>
        </w:rPr>
        <w:t>W, which is the EVM window.</w:t>
      </w:r>
    </w:p>
    <w:p w:rsidR="00042D84" w:rsidRDefault="00C16CFB" w:rsidP="00BB7ABC">
      <w:pPr>
        <w:rPr>
          <w:b/>
          <w:lang w:val="en-US"/>
        </w:rPr>
      </w:pPr>
      <w:r w:rsidRPr="00F34FA0">
        <w:rPr>
          <w:b/>
          <w:lang w:val="en-US"/>
        </w:rPr>
        <w:t>Observation 2: The Scell time TAE compared with Pcell should be less than W/2 to guarantee the sampled data for FFT is complete.</w:t>
      </w:r>
    </w:p>
    <w:p w:rsidR="007477EC" w:rsidRPr="0094317D" w:rsidRDefault="007477EC" w:rsidP="00BB7ABC">
      <w:pPr>
        <w:rPr>
          <w:lang w:val="en-US"/>
        </w:rPr>
      </w:pPr>
      <w:r>
        <w:rPr>
          <w:b/>
          <w:lang w:val="en-US"/>
        </w:rPr>
        <w:t>Observation 3: Using center FFT processing window for the Pcell as the Scell FFT window seems the correct implementation to accommodate the advance or delay possibility of TAE.</w:t>
      </w:r>
    </w:p>
    <w:p w:rsidR="00042D84" w:rsidRDefault="00042D84" w:rsidP="00DF62C3">
      <w:pPr>
        <w:rPr>
          <w:lang w:val="en-US"/>
        </w:rPr>
      </w:pPr>
    </w:p>
    <w:p w:rsidR="0075068B" w:rsidRDefault="00DF62C3" w:rsidP="0075068B">
      <w:pPr>
        <w:rPr>
          <w:lang w:val="en-US"/>
        </w:rPr>
      </w:pPr>
      <w:r>
        <w:rPr>
          <w:lang w:val="en-US"/>
        </w:rPr>
        <w:t>According to TS 38.104, T</w:t>
      </w:r>
      <w:r w:rsidR="0075068B">
        <w:rPr>
          <w:lang w:val="en-US"/>
        </w:rPr>
        <w:t>he time length of W</w:t>
      </w:r>
      <w:r>
        <w:rPr>
          <w:lang w:val="en-US"/>
        </w:rPr>
        <w:t>/2</w:t>
      </w:r>
      <w:r w:rsidR="0075068B">
        <w:rPr>
          <w:lang w:val="en-US"/>
        </w:rPr>
        <w:t xml:space="preserve"> is shown in the following table,</w:t>
      </w:r>
    </w:p>
    <w:tbl>
      <w:tblPr>
        <w:tblW w:w="5320" w:type="dxa"/>
        <w:tblInd w:w="93" w:type="dxa"/>
        <w:tblLook w:val="04A0" w:firstRow="1" w:lastRow="0" w:firstColumn="1" w:lastColumn="0" w:noHBand="0" w:noVBand="1"/>
      </w:tblPr>
      <w:tblGrid>
        <w:gridCol w:w="2440"/>
        <w:gridCol w:w="960"/>
        <w:gridCol w:w="960"/>
        <w:gridCol w:w="960"/>
      </w:tblGrid>
      <w:tr w:rsidR="0095557E" w:rsidRPr="0095557E" w:rsidTr="0095557E">
        <w:trPr>
          <w:trHeight w:val="300"/>
        </w:trPr>
        <w:tc>
          <w:tcPr>
            <w:tcW w:w="2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SCS (kHz)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15</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30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60</w:t>
            </w:r>
          </w:p>
        </w:tc>
      </w:tr>
      <w:tr w:rsidR="0095557E" w:rsidRPr="0095557E" w:rsidTr="0095557E">
        <w:trPr>
          <w:trHeight w:val="300"/>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CP length (us)</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4.69</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2.34</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1.17</w:t>
            </w:r>
          </w:p>
        </w:tc>
      </w:tr>
      <w:tr w:rsidR="0095557E" w:rsidRPr="0095557E" w:rsidTr="0095557E">
        <w:trPr>
          <w:trHeight w:val="564"/>
        </w:trPr>
        <w:tc>
          <w:tcPr>
            <w:tcW w:w="2440" w:type="dxa"/>
            <w:tcBorders>
              <w:top w:val="nil"/>
              <w:left w:val="single" w:sz="8" w:space="0" w:color="auto"/>
              <w:bottom w:val="single" w:sz="8" w:space="0" w:color="auto"/>
              <w:right w:val="single" w:sz="8" w:space="0" w:color="auto"/>
            </w:tcBorders>
            <w:shd w:val="clear" w:color="auto" w:fill="auto"/>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 xml:space="preserve">W/2 when </w:t>
            </w:r>
            <w:r w:rsidRPr="0095557E">
              <w:rPr>
                <w:color w:val="000000"/>
                <w:sz w:val="22"/>
                <w:lang w:val="en-US"/>
              </w:rPr>
              <w:br/>
              <w:t>W_length=40% CP (us)</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0.94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0.47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0.23 </w:t>
            </w:r>
          </w:p>
        </w:tc>
      </w:tr>
      <w:tr w:rsidR="0095557E" w:rsidRPr="0095557E" w:rsidTr="0095557E">
        <w:trPr>
          <w:trHeight w:val="564"/>
        </w:trPr>
        <w:tc>
          <w:tcPr>
            <w:tcW w:w="2440" w:type="dxa"/>
            <w:tcBorders>
              <w:top w:val="nil"/>
              <w:left w:val="single" w:sz="8" w:space="0" w:color="auto"/>
              <w:bottom w:val="single" w:sz="8" w:space="0" w:color="auto"/>
              <w:right w:val="single" w:sz="8" w:space="0" w:color="auto"/>
            </w:tcBorders>
            <w:shd w:val="clear" w:color="auto" w:fill="auto"/>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 xml:space="preserve">W/2 when </w:t>
            </w:r>
            <w:r w:rsidRPr="0095557E">
              <w:rPr>
                <w:color w:val="000000"/>
                <w:sz w:val="22"/>
                <w:lang w:val="en-US"/>
              </w:rPr>
              <w:br/>
              <w:t>W_length=50% CP (us)</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1.17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0.59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0.29 </w:t>
            </w:r>
          </w:p>
        </w:tc>
      </w:tr>
      <w:tr w:rsidR="0095557E" w:rsidRPr="0095557E" w:rsidTr="0095557E">
        <w:trPr>
          <w:trHeight w:val="564"/>
        </w:trPr>
        <w:tc>
          <w:tcPr>
            <w:tcW w:w="2440" w:type="dxa"/>
            <w:tcBorders>
              <w:top w:val="nil"/>
              <w:left w:val="single" w:sz="8" w:space="0" w:color="auto"/>
              <w:bottom w:val="single" w:sz="8" w:space="0" w:color="auto"/>
              <w:right w:val="single" w:sz="8" w:space="0" w:color="auto"/>
            </w:tcBorders>
            <w:shd w:val="clear" w:color="auto" w:fill="auto"/>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 xml:space="preserve">W/2 when </w:t>
            </w:r>
            <w:r w:rsidRPr="0095557E">
              <w:rPr>
                <w:color w:val="000000"/>
                <w:sz w:val="22"/>
                <w:lang w:val="en-US"/>
              </w:rPr>
              <w:br/>
              <w:t>W_length=60% CP (us)</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1.41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0.70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0.35 </w:t>
            </w:r>
          </w:p>
        </w:tc>
      </w:tr>
    </w:tbl>
    <w:p w:rsidR="0095557E" w:rsidRDefault="0095557E" w:rsidP="0075068B">
      <w:pPr>
        <w:rPr>
          <w:lang w:val="en-US"/>
        </w:rPr>
      </w:pPr>
    </w:p>
    <w:p w:rsidR="0095557E" w:rsidRPr="0095557E" w:rsidRDefault="0095557E" w:rsidP="0075068B">
      <w:pPr>
        <w:rPr>
          <w:b/>
          <w:lang w:val="en-US"/>
        </w:rPr>
      </w:pPr>
      <w:r w:rsidRPr="0095557E">
        <w:rPr>
          <w:b/>
          <w:lang w:val="en-US"/>
        </w:rPr>
        <w:t xml:space="preserve">Observation </w:t>
      </w:r>
      <w:r w:rsidR="00DF62C3">
        <w:rPr>
          <w:b/>
          <w:lang w:val="en-US"/>
        </w:rPr>
        <w:t>3</w:t>
      </w:r>
      <w:r w:rsidRPr="0095557E">
        <w:rPr>
          <w:b/>
          <w:lang w:val="en-US"/>
        </w:rPr>
        <w:t>: Half of EVM window W is 230 ns, 470 ns and 940 ns for 60 kHz, 30 kHz and 15 kHz SCS.</w:t>
      </w:r>
    </w:p>
    <w:p w:rsidR="0075068B" w:rsidRDefault="008753B8" w:rsidP="00BB7ABC">
      <w:pPr>
        <w:rPr>
          <w:lang w:val="en-US"/>
        </w:rPr>
      </w:pPr>
      <w:r>
        <w:rPr>
          <w:lang w:val="en-US"/>
        </w:rPr>
        <w:t>Th</w:t>
      </w:r>
      <w:r w:rsidR="00DF62C3">
        <w:rPr>
          <w:lang w:val="en-US"/>
        </w:rPr>
        <w:t>e above a</w:t>
      </w:r>
      <w:r>
        <w:rPr>
          <w:lang w:val="en-US"/>
        </w:rPr>
        <w:t>nalysis only considers the EVM window analysis. If other aspects, such as multi-path, system margin, etc, shorter TAE should be supported.</w:t>
      </w:r>
    </w:p>
    <w:p w:rsidR="006D724E" w:rsidRDefault="0095557E" w:rsidP="00BB7ABC">
      <w:pPr>
        <w:rPr>
          <w:lang w:val="en-US"/>
        </w:rPr>
      </w:pPr>
      <w:r w:rsidRPr="006D724E">
        <w:rPr>
          <w:b/>
          <w:lang w:val="en-US"/>
        </w:rPr>
        <w:t xml:space="preserve">Observation </w:t>
      </w:r>
      <w:r w:rsidR="00DF62C3">
        <w:rPr>
          <w:b/>
          <w:lang w:val="en-US"/>
        </w:rPr>
        <w:t>4</w:t>
      </w:r>
      <w:r w:rsidRPr="006D724E">
        <w:rPr>
          <w:b/>
          <w:lang w:val="en-US"/>
        </w:rPr>
        <w:t xml:space="preserve">: </w:t>
      </w:r>
      <w:r w:rsidR="006D724E" w:rsidRPr="006D724E">
        <w:rPr>
          <w:b/>
          <w:lang w:val="en-US"/>
        </w:rPr>
        <w:t>Considering other system aspects, the TAE should be less than half of EVM window W.</w:t>
      </w:r>
    </w:p>
    <w:p w:rsidR="00042D84" w:rsidRDefault="0075068B" w:rsidP="00042D84">
      <w:pPr>
        <w:pStyle w:val="3"/>
        <w:rPr>
          <w:lang w:val="en-US"/>
        </w:rPr>
      </w:pPr>
      <w:r>
        <w:rPr>
          <w:lang w:val="en-US"/>
        </w:rPr>
        <w:t xml:space="preserve">2.1.2 </w:t>
      </w:r>
      <w:r w:rsidR="00042D84">
        <w:rPr>
          <w:lang w:val="en-US"/>
        </w:rPr>
        <w:t>BS implementation capability</w:t>
      </w:r>
    </w:p>
    <w:p w:rsidR="00042D84" w:rsidRDefault="00311988" w:rsidP="00BB7ABC">
      <w:pPr>
        <w:rPr>
          <w:lang w:val="en-US"/>
        </w:rPr>
      </w:pPr>
      <w:r>
        <w:rPr>
          <w:lang w:val="en-US"/>
        </w:rPr>
        <w:t xml:space="preserve">Based on some evaluation for the BS implementation, 260 ns TAE can be achieved for inter-band CA. </w:t>
      </w:r>
    </w:p>
    <w:p w:rsidR="006D724E" w:rsidRPr="00311988" w:rsidRDefault="00311988" w:rsidP="00BB7ABC">
      <w:pPr>
        <w:rPr>
          <w:b/>
          <w:lang w:val="en-US"/>
        </w:rPr>
      </w:pPr>
      <w:r w:rsidRPr="00311988">
        <w:rPr>
          <w:b/>
          <w:lang w:val="en-US"/>
        </w:rPr>
        <w:t xml:space="preserve">Observation </w:t>
      </w:r>
      <w:r w:rsidR="00DF62C3">
        <w:rPr>
          <w:b/>
          <w:lang w:val="en-US"/>
        </w:rPr>
        <w:t>5</w:t>
      </w:r>
      <w:r w:rsidRPr="00311988">
        <w:rPr>
          <w:b/>
          <w:lang w:val="en-US"/>
        </w:rPr>
        <w:t>: 260 ns TAE can be achieved for inter-band CA BS.</w:t>
      </w:r>
    </w:p>
    <w:p w:rsidR="00042D84" w:rsidRDefault="008753B8" w:rsidP="008753B8">
      <w:pPr>
        <w:pStyle w:val="3"/>
        <w:rPr>
          <w:lang w:val="en-US"/>
        </w:rPr>
      </w:pPr>
      <w:r>
        <w:rPr>
          <w:lang w:val="en-US"/>
        </w:rPr>
        <w:t xml:space="preserve">2.1.3 </w:t>
      </w:r>
      <w:r w:rsidR="00042D84">
        <w:rPr>
          <w:lang w:val="en-US"/>
        </w:rPr>
        <w:t>Proposal</w:t>
      </w:r>
    </w:p>
    <w:p w:rsidR="003A56D9" w:rsidRDefault="00311988" w:rsidP="00BB7ABC">
      <w:pPr>
        <w:rPr>
          <w:lang w:val="en-US"/>
        </w:rPr>
      </w:pPr>
      <w:r>
        <w:rPr>
          <w:lang w:val="en-US"/>
        </w:rPr>
        <w:t>The requirement definition should consider both the system performance and the implementation capability, so from the analysis in 2.1.1 and 2.1.2, we have the following proposal.</w:t>
      </w:r>
    </w:p>
    <w:p w:rsidR="00BB7ABC" w:rsidRPr="00331640" w:rsidRDefault="00331640" w:rsidP="00BB7ABC">
      <w:pPr>
        <w:rPr>
          <w:b/>
          <w:lang w:val="en-US"/>
        </w:rPr>
      </w:pPr>
      <w:r w:rsidRPr="00331640">
        <w:rPr>
          <w:b/>
          <w:lang w:val="en-US"/>
        </w:rPr>
        <w:t xml:space="preserve">Proposal 1: </w:t>
      </w:r>
      <w:r w:rsidR="00F8750E" w:rsidRPr="00331640">
        <w:rPr>
          <w:b/>
          <w:lang w:val="en-US"/>
        </w:rPr>
        <w:t xml:space="preserve">BS TAE </w:t>
      </w:r>
      <w:r w:rsidR="00EA1413">
        <w:rPr>
          <w:b/>
          <w:lang w:val="en-US"/>
        </w:rPr>
        <w:t>requirement</w:t>
      </w:r>
      <w:r w:rsidRPr="00331640">
        <w:rPr>
          <w:b/>
          <w:lang w:val="en-US"/>
        </w:rPr>
        <w:t xml:space="preserve"> to support NES feature </w:t>
      </w:r>
      <w:r w:rsidR="00EA1413">
        <w:rPr>
          <w:b/>
          <w:lang w:val="en-US"/>
        </w:rPr>
        <w:t xml:space="preserve">can be defined as </w:t>
      </w:r>
      <w:r w:rsidRPr="00331640">
        <w:rPr>
          <w:b/>
          <w:lang w:val="en-US"/>
        </w:rPr>
        <w:t>260 ns for 30 kHz and 15 kHz SCS.</w:t>
      </w:r>
    </w:p>
    <w:p w:rsidR="00F8750E" w:rsidRDefault="00F8750E" w:rsidP="00F8750E">
      <w:pPr>
        <w:pStyle w:val="2"/>
        <w:numPr>
          <w:ilvl w:val="1"/>
          <w:numId w:val="4"/>
        </w:numPr>
      </w:pPr>
      <w:r>
        <w:t xml:space="preserve">General </w:t>
      </w:r>
      <w:r w:rsidRPr="00BB7ABC">
        <w:t xml:space="preserve">UE </w:t>
      </w:r>
      <w:r>
        <w:t>RF impact</w:t>
      </w:r>
    </w:p>
    <w:p w:rsidR="00311988" w:rsidRDefault="00311988" w:rsidP="00F8750E">
      <w:pPr>
        <w:rPr>
          <w:lang w:val="en-US"/>
        </w:rPr>
      </w:pPr>
      <w:r>
        <w:rPr>
          <w:lang w:val="en-US"/>
        </w:rPr>
        <w:t>Generally, we don’t see any new UE RF requirement impact for NES feature because this feature can be supported by legacy UE implementation.</w:t>
      </w:r>
    </w:p>
    <w:p w:rsidR="00F8750E" w:rsidRPr="00F8750E" w:rsidRDefault="00331640" w:rsidP="00F8750E">
      <w:pPr>
        <w:rPr>
          <w:lang w:val="en-US"/>
        </w:rPr>
      </w:pPr>
      <w:r w:rsidRPr="00311988">
        <w:rPr>
          <w:b/>
          <w:lang w:val="en-US"/>
        </w:rPr>
        <w:t xml:space="preserve">Proposal 2: </w:t>
      </w:r>
      <w:r w:rsidR="00F8750E" w:rsidRPr="00311988">
        <w:rPr>
          <w:b/>
          <w:lang w:val="en-US"/>
        </w:rPr>
        <w:t>No new UE RF requirements are defined for R18 NES feature.</w:t>
      </w:r>
    </w:p>
    <w:p w:rsidR="0075068B" w:rsidRDefault="0075068B" w:rsidP="0075068B">
      <w:pPr>
        <w:pStyle w:val="2"/>
        <w:numPr>
          <w:ilvl w:val="1"/>
          <w:numId w:val="4"/>
        </w:numPr>
      </w:pPr>
      <w:r>
        <w:t xml:space="preserve">UE </w:t>
      </w:r>
      <w:r w:rsidRPr="00BB7ABC">
        <w:t>received power imbalance</w:t>
      </w:r>
    </w:p>
    <w:p w:rsidR="00422C8C" w:rsidRDefault="00B32EF6" w:rsidP="009E12E0">
      <w:pPr>
        <w:rPr>
          <w:color w:val="000000" w:themeColor="text1"/>
          <w:sz w:val="20"/>
          <w:lang w:val="en-US"/>
        </w:rPr>
      </w:pPr>
      <w:r>
        <w:rPr>
          <w:rFonts w:hint="eastAsia"/>
          <w:color w:val="000000" w:themeColor="text1"/>
          <w:sz w:val="20"/>
          <w:lang w:val="en-US"/>
        </w:rPr>
        <w:t xml:space="preserve">For </w:t>
      </w:r>
      <w:r w:rsidR="00311988">
        <w:rPr>
          <w:color w:val="000000" w:themeColor="text1"/>
          <w:sz w:val="20"/>
          <w:lang w:val="en-US"/>
        </w:rPr>
        <w:t xml:space="preserve">UE received </w:t>
      </w:r>
      <w:r>
        <w:rPr>
          <w:rFonts w:hint="eastAsia"/>
          <w:color w:val="000000" w:themeColor="text1"/>
          <w:sz w:val="20"/>
          <w:lang w:val="en-US"/>
        </w:rPr>
        <w:t xml:space="preserve">power imbalance, </w:t>
      </w:r>
      <w:r>
        <w:rPr>
          <w:color w:val="000000" w:themeColor="text1"/>
          <w:sz w:val="20"/>
          <w:lang w:val="en-US"/>
        </w:rPr>
        <w:t>it’s related to two aspects. First is the path loss difference between the different frequencies. The free space path loss difference for 800 MHz and the 4.9 GHz is up to 16 dB. Second is the BS Tx power tolerance. Current requirement is as the following,</w:t>
      </w:r>
    </w:p>
    <w:p w:rsidR="00B32EF6" w:rsidRDefault="00B32EF6" w:rsidP="00B32EF6">
      <w:r>
        <w:t>In normal conditions, P</w:t>
      </w:r>
      <w:r>
        <w:rPr>
          <w:vertAlign w:val="subscript"/>
        </w:rPr>
        <w:t>max,c,AC</w:t>
      </w:r>
      <w:r>
        <w:t xml:space="preserve"> shall remain within +2 dB and -2 dB of the </w:t>
      </w:r>
      <w:r>
        <w:rPr>
          <w:i/>
        </w:rPr>
        <w:t>rated carrier output power</w:t>
      </w:r>
      <w:r>
        <w:t xml:space="preserve"> P</w:t>
      </w:r>
      <w:r>
        <w:rPr>
          <w:vertAlign w:val="subscript"/>
        </w:rPr>
        <w:t>rated,c,AC</w:t>
      </w:r>
      <w:r>
        <w:t>, declared by the manufacturer.</w:t>
      </w:r>
    </w:p>
    <w:p w:rsidR="00B32EF6" w:rsidRDefault="00B32EF6" w:rsidP="00B32EF6">
      <w:r>
        <w:t>In extreme conditions, P</w:t>
      </w:r>
      <w:r>
        <w:rPr>
          <w:vertAlign w:val="subscript"/>
        </w:rPr>
        <w:t xml:space="preserve">max,c,AC </w:t>
      </w:r>
      <w:r>
        <w:t xml:space="preserve">shall remain within +2.5 dB and -2.5 dB of the </w:t>
      </w:r>
      <w:r>
        <w:rPr>
          <w:i/>
        </w:rPr>
        <w:t>rated carrier output power</w:t>
      </w:r>
      <w:r>
        <w:t xml:space="preserve"> P</w:t>
      </w:r>
      <w:r>
        <w:rPr>
          <w:vertAlign w:val="subscript"/>
        </w:rPr>
        <w:t>rated,c,AC</w:t>
      </w:r>
      <w:r>
        <w:t>, declared by the manufacturer.</w:t>
      </w:r>
    </w:p>
    <w:p w:rsidR="00B32EF6" w:rsidRDefault="00B32EF6" w:rsidP="009E12E0">
      <w:pPr>
        <w:rPr>
          <w:color w:val="000000" w:themeColor="text1"/>
          <w:sz w:val="20"/>
          <w:lang w:val="en-US"/>
        </w:rPr>
      </w:pPr>
      <w:r>
        <w:rPr>
          <w:color w:val="000000" w:themeColor="text1"/>
          <w:sz w:val="20"/>
          <w:lang w:val="en-US"/>
        </w:rPr>
        <w:t xml:space="preserve">So in normal </w:t>
      </w:r>
      <w:r w:rsidR="00015EEC">
        <w:rPr>
          <w:color w:val="000000" w:themeColor="text1"/>
          <w:sz w:val="20"/>
          <w:lang w:val="en-US"/>
        </w:rPr>
        <w:t xml:space="preserve">conditions, the power difference between BS 2 Tx </w:t>
      </w:r>
      <w:r w:rsidR="00DF62C3">
        <w:rPr>
          <w:color w:val="000000" w:themeColor="text1"/>
          <w:sz w:val="20"/>
          <w:lang w:val="en-US"/>
        </w:rPr>
        <w:t>paths</w:t>
      </w:r>
      <w:r w:rsidR="00015EEC">
        <w:rPr>
          <w:color w:val="000000" w:themeColor="text1"/>
          <w:sz w:val="20"/>
          <w:lang w:val="en-US"/>
        </w:rPr>
        <w:t xml:space="preserve"> can be up to 4 dB.</w:t>
      </w:r>
    </w:p>
    <w:p w:rsidR="00015EEC" w:rsidRDefault="00015EEC" w:rsidP="009E12E0">
      <w:pPr>
        <w:rPr>
          <w:color w:val="000000" w:themeColor="text1"/>
          <w:sz w:val="20"/>
          <w:lang w:val="en-US"/>
        </w:rPr>
      </w:pPr>
      <w:r>
        <w:rPr>
          <w:color w:val="000000" w:themeColor="text1"/>
          <w:sz w:val="20"/>
          <w:lang w:val="en-US"/>
        </w:rPr>
        <w:t>Considering the two above aspects, it’s difficult to say that UE received power imbalance can be limited to 6 dB.</w:t>
      </w:r>
    </w:p>
    <w:p w:rsidR="00015EEC" w:rsidRPr="00015EEC" w:rsidRDefault="00015EEC" w:rsidP="009E12E0">
      <w:pPr>
        <w:rPr>
          <w:b/>
          <w:color w:val="000000" w:themeColor="text1"/>
          <w:sz w:val="20"/>
          <w:lang w:val="en-US"/>
        </w:rPr>
      </w:pPr>
      <w:r w:rsidRPr="00015EEC">
        <w:rPr>
          <w:b/>
          <w:color w:val="000000" w:themeColor="text1"/>
          <w:sz w:val="20"/>
          <w:lang w:val="en-US"/>
        </w:rPr>
        <w:t xml:space="preserve">Observation </w:t>
      </w:r>
      <w:r w:rsidR="00DF62C3">
        <w:rPr>
          <w:b/>
          <w:color w:val="000000" w:themeColor="text1"/>
          <w:sz w:val="20"/>
          <w:lang w:val="en-US"/>
        </w:rPr>
        <w:t>6</w:t>
      </w:r>
      <w:r w:rsidRPr="00015EEC">
        <w:rPr>
          <w:b/>
          <w:color w:val="000000" w:themeColor="text1"/>
          <w:sz w:val="20"/>
          <w:lang w:val="en-US"/>
        </w:rPr>
        <w:t>: Considering BS Tx power tolerance and FSPL for frequencies, UE received power imbalance for co-located inter-band CA can be much larger than 6 dB.</w:t>
      </w:r>
    </w:p>
    <w:p w:rsidR="00331640" w:rsidRPr="00B32EF6" w:rsidRDefault="00015EEC" w:rsidP="009E12E0">
      <w:pPr>
        <w:rPr>
          <w:b/>
          <w:color w:val="000000" w:themeColor="text1"/>
          <w:sz w:val="20"/>
          <w:lang w:val="en-US"/>
        </w:rPr>
      </w:pPr>
      <w:r>
        <w:rPr>
          <w:b/>
          <w:color w:val="000000" w:themeColor="text1"/>
          <w:sz w:val="20"/>
          <w:lang w:val="en-US"/>
        </w:rPr>
        <w:t>Proposal 3</w:t>
      </w:r>
      <w:r w:rsidR="00B32EF6" w:rsidRPr="00B32EF6">
        <w:rPr>
          <w:b/>
          <w:color w:val="000000" w:themeColor="text1"/>
          <w:sz w:val="20"/>
          <w:lang w:val="en-US"/>
        </w:rPr>
        <w:t xml:space="preserve">: </w:t>
      </w:r>
      <w:r>
        <w:rPr>
          <w:b/>
          <w:color w:val="000000" w:themeColor="text1"/>
          <w:sz w:val="20"/>
          <w:lang w:val="en-US"/>
        </w:rPr>
        <w:t>The analysis assumption should be agreed first for the discussion</w:t>
      </w:r>
      <w:r w:rsidR="00B32EF6" w:rsidRPr="00B32EF6">
        <w:rPr>
          <w:b/>
          <w:color w:val="000000" w:themeColor="text1"/>
          <w:sz w:val="20"/>
          <w:lang w:val="en-US"/>
        </w:rPr>
        <w:t xml:space="preserve"> of the UE received power imbalance, such as the frequency of the bands, BS Tx power tolerance.</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F2F7D" w:rsidRDefault="00015EEC" w:rsidP="00EF2F7D">
      <w:pPr>
        <w:rPr>
          <w:lang w:val="en-US"/>
        </w:rPr>
      </w:pPr>
      <w:r>
        <w:rPr>
          <w:rFonts w:hint="eastAsia"/>
          <w:lang w:val="en-US"/>
        </w:rPr>
        <w:t xml:space="preserve">This contribution </w:t>
      </w:r>
      <w:r>
        <w:rPr>
          <w:lang w:val="en-US"/>
        </w:rPr>
        <w:t>provides</w:t>
      </w:r>
      <w:r>
        <w:rPr>
          <w:rFonts w:hint="eastAsia"/>
          <w:lang w:val="en-US"/>
        </w:rPr>
        <w:t xml:space="preserve"> our analysis and views on BS TAE requirements, UE RF impact and UE received power imbalance. We have the following observations and proposals.</w:t>
      </w:r>
    </w:p>
    <w:p w:rsidR="00015EEC" w:rsidRDefault="00015EEC" w:rsidP="00EF2F7D">
      <w:pPr>
        <w:rPr>
          <w:lang w:val="en-US"/>
        </w:rPr>
      </w:pPr>
      <w:r>
        <w:rPr>
          <w:rFonts w:hint="eastAsia"/>
          <w:lang w:val="en-US"/>
        </w:rPr>
        <w:t>For BS TAE requirements,</w:t>
      </w:r>
    </w:p>
    <w:p w:rsidR="00DF62C3" w:rsidRDefault="00DF62C3" w:rsidP="00EF2F7D">
      <w:pPr>
        <w:rPr>
          <w:lang w:val="en-US"/>
        </w:rPr>
      </w:pPr>
    </w:p>
    <w:p w:rsidR="00DF62C3" w:rsidRPr="00F34FA0" w:rsidRDefault="00DF62C3" w:rsidP="00DF62C3">
      <w:pPr>
        <w:rPr>
          <w:b/>
          <w:lang w:val="en-US"/>
        </w:rPr>
      </w:pPr>
      <w:r w:rsidRPr="00F34FA0">
        <w:rPr>
          <w:b/>
          <w:lang w:val="en-US"/>
        </w:rPr>
        <w:t>Observation 1: The lowest time edge and the highest time edge of the FFT processing windows for the one symbol is the length of W, which is the EVM window.</w:t>
      </w:r>
    </w:p>
    <w:p w:rsidR="00DF62C3" w:rsidRDefault="00DF62C3" w:rsidP="00DF62C3">
      <w:pPr>
        <w:rPr>
          <w:b/>
          <w:lang w:val="en-US"/>
        </w:rPr>
      </w:pPr>
      <w:r w:rsidRPr="00F34FA0">
        <w:rPr>
          <w:b/>
          <w:lang w:val="en-US"/>
        </w:rPr>
        <w:t>Observation 2: The Scell time TAE compared with Pcell should be less than W/2 to guarantee the sampled data for FFT is complete.</w:t>
      </w:r>
    </w:p>
    <w:p w:rsidR="00DF62C3" w:rsidRPr="0095557E" w:rsidRDefault="00DF62C3" w:rsidP="00DF62C3">
      <w:pPr>
        <w:rPr>
          <w:b/>
          <w:lang w:val="en-US"/>
        </w:rPr>
      </w:pPr>
      <w:r w:rsidRPr="0095557E">
        <w:rPr>
          <w:b/>
          <w:lang w:val="en-US"/>
        </w:rPr>
        <w:t xml:space="preserve">Observation </w:t>
      </w:r>
      <w:r>
        <w:rPr>
          <w:b/>
          <w:lang w:val="en-US"/>
        </w:rPr>
        <w:t>3</w:t>
      </w:r>
      <w:r w:rsidRPr="0095557E">
        <w:rPr>
          <w:b/>
          <w:lang w:val="en-US"/>
        </w:rPr>
        <w:t>: Half of EVM window W is 230 ns, 470 ns and 940 ns for 60 kHz, 30 kHz and 15 kHz SCS.</w:t>
      </w:r>
    </w:p>
    <w:p w:rsidR="00DF62C3" w:rsidRDefault="00DF62C3" w:rsidP="00DF62C3">
      <w:pPr>
        <w:rPr>
          <w:lang w:val="en-US"/>
        </w:rPr>
      </w:pPr>
      <w:r w:rsidRPr="006D724E">
        <w:rPr>
          <w:b/>
          <w:lang w:val="en-US"/>
        </w:rPr>
        <w:t xml:space="preserve">Observation </w:t>
      </w:r>
      <w:r>
        <w:rPr>
          <w:b/>
          <w:lang w:val="en-US"/>
        </w:rPr>
        <w:t>4</w:t>
      </w:r>
      <w:r w:rsidRPr="006D724E">
        <w:rPr>
          <w:b/>
          <w:lang w:val="en-US"/>
        </w:rPr>
        <w:t>: Considering other system aspects, the TAE should be less than half of EVM window W.</w:t>
      </w:r>
    </w:p>
    <w:p w:rsidR="00DF62C3" w:rsidRPr="00311988" w:rsidRDefault="00DF62C3" w:rsidP="00DF62C3">
      <w:pPr>
        <w:rPr>
          <w:b/>
          <w:lang w:val="en-US"/>
        </w:rPr>
      </w:pPr>
      <w:r w:rsidRPr="00311988">
        <w:rPr>
          <w:b/>
          <w:lang w:val="en-US"/>
        </w:rPr>
        <w:t xml:space="preserve">Observation </w:t>
      </w:r>
      <w:r>
        <w:rPr>
          <w:b/>
          <w:lang w:val="en-US"/>
        </w:rPr>
        <w:t>5</w:t>
      </w:r>
      <w:r w:rsidRPr="00311988">
        <w:rPr>
          <w:b/>
          <w:lang w:val="en-US"/>
        </w:rPr>
        <w:t>: 260 ns TAE can be achieved for inter-band CA BS.</w:t>
      </w:r>
    </w:p>
    <w:p w:rsidR="00DF62C3" w:rsidRDefault="00DF62C3" w:rsidP="00DF62C3">
      <w:pPr>
        <w:rPr>
          <w:b/>
          <w:lang w:val="en-US"/>
        </w:rPr>
      </w:pPr>
    </w:p>
    <w:p w:rsidR="00057CC1" w:rsidRPr="00331640" w:rsidRDefault="00057CC1" w:rsidP="00057CC1">
      <w:pPr>
        <w:rPr>
          <w:b/>
          <w:lang w:val="en-US"/>
        </w:rPr>
      </w:pPr>
      <w:r w:rsidRPr="00331640">
        <w:rPr>
          <w:b/>
          <w:lang w:val="en-US"/>
        </w:rPr>
        <w:t xml:space="preserve">Proposal 1: BS TAE </w:t>
      </w:r>
      <w:r>
        <w:rPr>
          <w:b/>
          <w:lang w:val="en-US"/>
        </w:rPr>
        <w:t>requirement</w:t>
      </w:r>
      <w:r w:rsidRPr="00331640">
        <w:rPr>
          <w:b/>
          <w:lang w:val="en-US"/>
        </w:rPr>
        <w:t xml:space="preserve"> to support NES feature </w:t>
      </w:r>
      <w:r>
        <w:rPr>
          <w:b/>
          <w:lang w:val="en-US"/>
        </w:rPr>
        <w:t xml:space="preserve">can be defined as </w:t>
      </w:r>
      <w:r w:rsidRPr="00331640">
        <w:rPr>
          <w:b/>
          <w:lang w:val="en-US"/>
        </w:rPr>
        <w:t>260 ns for 30 kHz and 15 kHz SCS.</w:t>
      </w:r>
    </w:p>
    <w:p w:rsidR="00015EEC" w:rsidRPr="00057CC1" w:rsidRDefault="00015EEC" w:rsidP="00EF2F7D">
      <w:pPr>
        <w:rPr>
          <w:lang w:val="en-US"/>
        </w:rPr>
      </w:pPr>
      <w:bookmarkStart w:id="2" w:name="_GoBack"/>
      <w:bookmarkEnd w:id="2"/>
    </w:p>
    <w:p w:rsidR="00015EEC" w:rsidRDefault="00015EEC" w:rsidP="00EF2F7D">
      <w:pPr>
        <w:rPr>
          <w:lang w:val="en-US"/>
        </w:rPr>
      </w:pPr>
      <w:r>
        <w:rPr>
          <w:rFonts w:hint="eastAsia"/>
          <w:lang w:val="en-US"/>
        </w:rPr>
        <w:t>For</w:t>
      </w:r>
      <w:r w:rsidRPr="00015EEC">
        <w:rPr>
          <w:rFonts w:hint="eastAsia"/>
          <w:lang w:val="en-US"/>
        </w:rPr>
        <w:t xml:space="preserve"> </w:t>
      </w:r>
      <w:r>
        <w:rPr>
          <w:rFonts w:hint="eastAsia"/>
          <w:lang w:val="en-US"/>
        </w:rPr>
        <w:t>UE RF impact,</w:t>
      </w:r>
    </w:p>
    <w:p w:rsidR="00DF62C3" w:rsidRPr="00F8750E" w:rsidRDefault="00DF62C3" w:rsidP="00DF62C3">
      <w:pPr>
        <w:rPr>
          <w:lang w:val="en-US"/>
        </w:rPr>
      </w:pPr>
      <w:r w:rsidRPr="00311988">
        <w:rPr>
          <w:b/>
          <w:lang w:val="en-US"/>
        </w:rPr>
        <w:t>Proposal 2: No new UE RF requirements are defined for R18 NES feature.</w:t>
      </w:r>
    </w:p>
    <w:p w:rsidR="00015EEC" w:rsidRPr="00DF62C3" w:rsidRDefault="00015EEC" w:rsidP="00EF2F7D">
      <w:pPr>
        <w:rPr>
          <w:lang w:val="en-US"/>
        </w:rPr>
      </w:pPr>
    </w:p>
    <w:p w:rsidR="00015EEC" w:rsidRDefault="00015EEC" w:rsidP="00EF2F7D">
      <w:pPr>
        <w:rPr>
          <w:lang w:val="en-US"/>
        </w:rPr>
      </w:pPr>
      <w:r>
        <w:rPr>
          <w:rFonts w:hint="eastAsia"/>
          <w:lang w:val="en-US"/>
        </w:rPr>
        <w:t>For UE received power imbalance</w:t>
      </w:r>
      <w:r w:rsidR="00DF62C3">
        <w:rPr>
          <w:lang w:val="en-US"/>
        </w:rPr>
        <w:t>,</w:t>
      </w:r>
    </w:p>
    <w:p w:rsidR="00DF62C3" w:rsidRPr="00015EEC" w:rsidRDefault="00DF62C3" w:rsidP="00DF62C3">
      <w:pPr>
        <w:rPr>
          <w:b/>
          <w:color w:val="000000" w:themeColor="text1"/>
          <w:sz w:val="20"/>
          <w:lang w:val="en-US"/>
        </w:rPr>
      </w:pPr>
      <w:r w:rsidRPr="00015EEC">
        <w:rPr>
          <w:b/>
          <w:color w:val="000000" w:themeColor="text1"/>
          <w:sz w:val="20"/>
          <w:lang w:val="en-US"/>
        </w:rPr>
        <w:t xml:space="preserve">Observation </w:t>
      </w:r>
      <w:r>
        <w:rPr>
          <w:b/>
          <w:color w:val="000000" w:themeColor="text1"/>
          <w:sz w:val="20"/>
          <w:lang w:val="en-US"/>
        </w:rPr>
        <w:t>6</w:t>
      </w:r>
      <w:r w:rsidRPr="00015EEC">
        <w:rPr>
          <w:b/>
          <w:color w:val="000000" w:themeColor="text1"/>
          <w:sz w:val="20"/>
          <w:lang w:val="en-US"/>
        </w:rPr>
        <w:t>: Considering BS Tx power tolerance and FSPL for frequencies, UE received power imbalance for co-located inter-band CA can be much larger than 6 dB.</w:t>
      </w:r>
    </w:p>
    <w:p w:rsidR="00015EEC" w:rsidRPr="00EF2F7D" w:rsidRDefault="00DF62C3" w:rsidP="00EF2F7D">
      <w:pPr>
        <w:rPr>
          <w:lang w:val="en-US"/>
        </w:rPr>
      </w:pPr>
      <w:r>
        <w:rPr>
          <w:b/>
          <w:color w:val="000000" w:themeColor="text1"/>
          <w:sz w:val="20"/>
          <w:lang w:val="en-US"/>
        </w:rPr>
        <w:t>Proposal 3</w:t>
      </w:r>
      <w:r w:rsidRPr="00B32EF6">
        <w:rPr>
          <w:b/>
          <w:color w:val="000000" w:themeColor="text1"/>
          <w:sz w:val="20"/>
          <w:lang w:val="en-US"/>
        </w:rPr>
        <w:t xml:space="preserve">: </w:t>
      </w:r>
      <w:r>
        <w:rPr>
          <w:b/>
          <w:color w:val="000000" w:themeColor="text1"/>
          <w:sz w:val="20"/>
          <w:lang w:val="en-US"/>
        </w:rPr>
        <w:t>The analysis assumption should be agreed first for the discussion</w:t>
      </w:r>
      <w:r w:rsidRPr="00B32EF6">
        <w:rPr>
          <w:b/>
          <w:color w:val="000000" w:themeColor="text1"/>
          <w:sz w:val="20"/>
          <w:lang w:val="en-US"/>
        </w:rPr>
        <w:t xml:space="preserve"> of the UE received power imbalance, such as the frequency of the bands, BS Tx power tolerance.</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FE0ACC" w:rsidRPr="00BB7ABC" w:rsidRDefault="001A3C2A" w:rsidP="003C4462">
      <w:pPr>
        <w:tabs>
          <w:tab w:val="num" w:pos="720"/>
        </w:tabs>
        <w:rPr>
          <w:lang w:val="en-US"/>
        </w:rPr>
      </w:pPr>
      <w:r w:rsidRPr="00331B5B">
        <w:rPr>
          <w:rFonts w:hint="eastAsia"/>
          <w:lang w:val="en-US"/>
        </w:rPr>
        <w:t>[</w:t>
      </w:r>
      <w:r w:rsidR="00024E82" w:rsidRPr="00331B5B">
        <w:rPr>
          <w:rFonts w:hint="eastAsia"/>
          <w:lang w:val="en-US"/>
        </w:rPr>
        <w:t>1</w:t>
      </w:r>
      <w:r w:rsidRPr="00331B5B">
        <w:rPr>
          <w:rFonts w:hint="eastAsia"/>
          <w:lang w:val="en-US"/>
        </w:rPr>
        <w:t>]</w:t>
      </w:r>
      <w:r w:rsidR="001D260B">
        <w:rPr>
          <w:rFonts w:hint="eastAsia"/>
          <w:lang w:val="en-US"/>
        </w:rPr>
        <w:t xml:space="preserve"> </w:t>
      </w:r>
      <w:hyperlink r:id="rId12" w:history="1">
        <w:r w:rsidR="00B76B66" w:rsidRPr="003C4462">
          <w:rPr>
            <w:lang w:val="en-US"/>
          </w:rPr>
          <w:t>R4-2310381</w:t>
        </w:r>
      </w:hyperlink>
      <w:r w:rsidR="00063CC7">
        <w:rPr>
          <w:lang w:val="en-US"/>
        </w:rPr>
        <w:t>, “</w:t>
      </w:r>
      <w:r w:rsidR="00B76B66" w:rsidRPr="003C4462">
        <w:rPr>
          <w:lang w:val="en-US"/>
        </w:rPr>
        <w:t>WF on RF requirements for network energy saving</w:t>
      </w:r>
      <w:r w:rsidR="00063CC7">
        <w:rPr>
          <w:lang w:val="en-US"/>
        </w:rPr>
        <w:t>”</w:t>
      </w:r>
    </w:p>
    <w:p w:rsidR="00937015" w:rsidRPr="00063CC7" w:rsidRDefault="00063CC7" w:rsidP="00063CC7">
      <w:pPr>
        <w:tabs>
          <w:tab w:val="num" w:pos="720"/>
        </w:tabs>
        <w:rPr>
          <w:lang w:val="en-US"/>
        </w:rPr>
      </w:pPr>
      <w:r>
        <w:rPr>
          <w:lang w:val="en-US"/>
        </w:rPr>
        <w:t xml:space="preserve">[2] </w:t>
      </w:r>
      <w:r w:rsidR="00A375FE" w:rsidRPr="00063CC7">
        <w:rPr>
          <w:lang w:val="en-US"/>
        </w:rPr>
        <w:t>R4-2310087</w:t>
      </w:r>
      <w:r>
        <w:rPr>
          <w:lang w:val="en-US"/>
        </w:rPr>
        <w:t>, “</w:t>
      </w:r>
      <w:r w:rsidR="00A375FE" w:rsidRPr="00063CC7">
        <w:rPr>
          <w:lang w:val="en-US"/>
        </w:rPr>
        <w:t>on RAN1/2 impacts for SSB-less Scell operation</w:t>
      </w:r>
      <w:r>
        <w:rPr>
          <w:lang w:val="en-US"/>
        </w:rPr>
        <w:t xml:space="preserve">” </w:t>
      </w:r>
    </w:p>
    <w:p w:rsidR="00DF62C3" w:rsidRPr="00DF62C3" w:rsidRDefault="00DF62C3" w:rsidP="00DF62C3">
      <w:pPr>
        <w:tabs>
          <w:tab w:val="num" w:pos="720"/>
        </w:tabs>
        <w:rPr>
          <w:lang w:val="en-US"/>
        </w:rPr>
      </w:pPr>
      <w:r>
        <w:rPr>
          <w:lang w:val="en-US"/>
        </w:rPr>
        <w:t xml:space="preserve">[3] </w:t>
      </w:r>
      <w:r w:rsidR="00B32EF6" w:rsidRPr="00DF62C3">
        <w:rPr>
          <w:lang w:val="en-US"/>
        </w:rPr>
        <w:t>R4-2307529</w:t>
      </w:r>
      <w:r>
        <w:rPr>
          <w:lang w:val="en-US"/>
        </w:rPr>
        <w:t>, “</w:t>
      </w:r>
      <w:r w:rsidRPr="00DF62C3">
        <w:rPr>
          <w:lang w:val="en-US"/>
        </w:rPr>
        <w:t>Discussion on BS RF requirement of network Energy savings</w:t>
      </w:r>
      <w:r>
        <w:rPr>
          <w:lang w:val="en-US"/>
        </w:rPr>
        <w:t xml:space="preserve">”, </w:t>
      </w:r>
      <w:r w:rsidRPr="00DF62C3">
        <w:rPr>
          <w:lang w:val="en-US"/>
        </w:rPr>
        <w:t>Huawei, HiSilicon</w:t>
      </w:r>
    </w:p>
    <w:sectPr w:rsidR="00DF62C3" w:rsidRPr="00DF62C3"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E5F" w:rsidRDefault="009F1E5F" w:rsidP="0095591C">
      <w:pPr>
        <w:spacing w:after="60"/>
        <w:ind w:left="210"/>
      </w:pPr>
      <w:r>
        <w:separator/>
      </w:r>
    </w:p>
  </w:endnote>
  <w:endnote w:type="continuationSeparator" w:id="0">
    <w:p w:rsidR="009F1E5F" w:rsidRDefault="009F1E5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¾’©‘Ì">
    <w:altName w:val="Yu Gothic"/>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F1E5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E5F" w:rsidRDefault="009F1E5F" w:rsidP="0095591C">
      <w:pPr>
        <w:spacing w:after="60"/>
        <w:ind w:left="210"/>
      </w:pPr>
      <w:r>
        <w:separator/>
      </w:r>
    </w:p>
  </w:footnote>
  <w:footnote w:type="continuationSeparator" w:id="0">
    <w:p w:rsidR="009F1E5F" w:rsidRDefault="009F1E5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9"/>
  </w:num>
  <w:num w:numId="5">
    <w:abstractNumId w:val="4"/>
  </w:num>
  <w:num w:numId="6">
    <w:abstractNumId w:val="18"/>
  </w:num>
  <w:num w:numId="7">
    <w:abstractNumId w:val="2"/>
  </w:num>
  <w:num w:numId="8">
    <w:abstractNumId w:val="10"/>
  </w:num>
  <w:num w:numId="9">
    <w:abstractNumId w:val="6"/>
  </w:num>
  <w:num w:numId="10">
    <w:abstractNumId w:val="17"/>
  </w:num>
  <w:num w:numId="11">
    <w:abstractNumId w:val="19"/>
  </w:num>
  <w:num w:numId="12">
    <w:abstractNumId w:val="20"/>
  </w:num>
  <w:num w:numId="13">
    <w:abstractNumId w:val="7"/>
  </w:num>
  <w:num w:numId="14">
    <w:abstractNumId w:val="8"/>
  </w:num>
  <w:num w:numId="15">
    <w:abstractNumId w:val="5"/>
  </w:num>
  <w:num w:numId="16">
    <w:abstractNumId w:val="15"/>
  </w:num>
  <w:num w:numId="17">
    <w:abstractNumId w:val="0"/>
  </w:num>
  <w:num w:numId="18">
    <w:abstractNumId w:val="16"/>
  </w:num>
  <w:num w:numId="19">
    <w:abstractNumId w:val="11"/>
  </w:num>
  <w:num w:numId="20">
    <w:abstractNumId w:val="13"/>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5EE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D84"/>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47F"/>
    <w:rsid w:val="000559F7"/>
    <w:rsid w:val="00055CBF"/>
    <w:rsid w:val="0005636E"/>
    <w:rsid w:val="00056E33"/>
    <w:rsid w:val="00057A77"/>
    <w:rsid w:val="00057CC1"/>
    <w:rsid w:val="00057D85"/>
    <w:rsid w:val="00060923"/>
    <w:rsid w:val="00060DA1"/>
    <w:rsid w:val="000610B2"/>
    <w:rsid w:val="000614A8"/>
    <w:rsid w:val="00061649"/>
    <w:rsid w:val="00061687"/>
    <w:rsid w:val="00061C4F"/>
    <w:rsid w:val="00062322"/>
    <w:rsid w:val="0006277E"/>
    <w:rsid w:val="000628B9"/>
    <w:rsid w:val="00062CE1"/>
    <w:rsid w:val="000637C7"/>
    <w:rsid w:val="000637F6"/>
    <w:rsid w:val="00063B99"/>
    <w:rsid w:val="00063CB7"/>
    <w:rsid w:val="00063CC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D24"/>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B16"/>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534D"/>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60B"/>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D3B"/>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2F5"/>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D5D"/>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37D1B"/>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466"/>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1EB"/>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C2"/>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988"/>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40"/>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192"/>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6D9"/>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462"/>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4A86"/>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41D"/>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CCF"/>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3A20"/>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2D1"/>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1BB"/>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24E"/>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477EC"/>
    <w:rsid w:val="0075068B"/>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0C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496"/>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BC8"/>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145"/>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B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5B1"/>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195"/>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5"/>
    <w:rsid w:val="00940647"/>
    <w:rsid w:val="00940DA0"/>
    <w:rsid w:val="009412BF"/>
    <w:rsid w:val="0094149A"/>
    <w:rsid w:val="009417ED"/>
    <w:rsid w:val="00941BDB"/>
    <w:rsid w:val="009421CD"/>
    <w:rsid w:val="00942C23"/>
    <w:rsid w:val="00942CB0"/>
    <w:rsid w:val="0094317D"/>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57E"/>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2E0"/>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1E5F"/>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BB4"/>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5FE"/>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EF6"/>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B66"/>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ABC"/>
    <w:rsid w:val="00BB7BEA"/>
    <w:rsid w:val="00BB7DEF"/>
    <w:rsid w:val="00BB7E8A"/>
    <w:rsid w:val="00BC0754"/>
    <w:rsid w:val="00BC0B40"/>
    <w:rsid w:val="00BC0F55"/>
    <w:rsid w:val="00BC1B98"/>
    <w:rsid w:val="00BC1C50"/>
    <w:rsid w:val="00BC1C6E"/>
    <w:rsid w:val="00BC2F66"/>
    <w:rsid w:val="00BC313D"/>
    <w:rsid w:val="00BC3349"/>
    <w:rsid w:val="00BC33E8"/>
    <w:rsid w:val="00BC3600"/>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1A3"/>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2AC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6CFB"/>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5F4"/>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06E8"/>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049D"/>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2C3"/>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2C47"/>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7A1"/>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13"/>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102"/>
    <w:rsid w:val="00EE6A67"/>
    <w:rsid w:val="00EE6C49"/>
    <w:rsid w:val="00EE76F7"/>
    <w:rsid w:val="00EE7AC8"/>
    <w:rsid w:val="00EE7CD1"/>
    <w:rsid w:val="00EF082E"/>
    <w:rsid w:val="00EF0BF6"/>
    <w:rsid w:val="00EF0C0D"/>
    <w:rsid w:val="00EF1157"/>
    <w:rsid w:val="00EF11F9"/>
    <w:rsid w:val="00EF1E36"/>
    <w:rsid w:val="00EF21A6"/>
    <w:rsid w:val="00EF2DCF"/>
    <w:rsid w:val="00EF2F7D"/>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4FA0"/>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C7C"/>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D90"/>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50E"/>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ACC"/>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31268865">
      <w:bodyDiv w:val="1"/>
      <w:marLeft w:val="0"/>
      <w:marRight w:val="0"/>
      <w:marTop w:val="0"/>
      <w:marBottom w:val="0"/>
      <w:divBdr>
        <w:top w:val="none" w:sz="0" w:space="0" w:color="auto"/>
        <w:left w:val="none" w:sz="0" w:space="0" w:color="auto"/>
        <w:bottom w:val="none" w:sz="0" w:space="0" w:color="auto"/>
        <w:right w:val="none" w:sz="0" w:space="0" w:color="auto"/>
      </w:divBdr>
      <w:divsChild>
        <w:div w:id="45762939">
          <w:marLeft w:val="547"/>
          <w:marRight w:val="0"/>
          <w:marTop w:val="154"/>
          <w:marBottom w:val="0"/>
          <w:divBdr>
            <w:top w:val="none" w:sz="0" w:space="0" w:color="auto"/>
            <w:left w:val="none" w:sz="0" w:space="0" w:color="auto"/>
            <w:bottom w:val="none" w:sz="0" w:space="0" w:color="auto"/>
            <w:right w:val="none" w:sz="0" w:space="0" w:color="auto"/>
          </w:divBdr>
        </w:div>
      </w:divsChild>
    </w:div>
    <w:div w:id="38170443">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809054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6674313">
      <w:bodyDiv w:val="1"/>
      <w:marLeft w:val="0"/>
      <w:marRight w:val="0"/>
      <w:marTop w:val="0"/>
      <w:marBottom w:val="0"/>
      <w:divBdr>
        <w:top w:val="none" w:sz="0" w:space="0" w:color="auto"/>
        <w:left w:val="none" w:sz="0" w:space="0" w:color="auto"/>
        <w:bottom w:val="none" w:sz="0" w:space="0" w:color="auto"/>
        <w:right w:val="none" w:sz="0" w:space="0" w:color="auto"/>
      </w:divBdr>
    </w:div>
    <w:div w:id="241720325">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52133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1806451">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5173658">
      <w:bodyDiv w:val="1"/>
      <w:marLeft w:val="0"/>
      <w:marRight w:val="0"/>
      <w:marTop w:val="0"/>
      <w:marBottom w:val="0"/>
      <w:divBdr>
        <w:top w:val="none" w:sz="0" w:space="0" w:color="auto"/>
        <w:left w:val="none" w:sz="0" w:space="0" w:color="auto"/>
        <w:bottom w:val="none" w:sz="0" w:space="0" w:color="auto"/>
        <w:right w:val="none" w:sz="0" w:space="0" w:color="auto"/>
      </w:divBdr>
      <w:divsChild>
        <w:div w:id="627123607">
          <w:marLeft w:val="547"/>
          <w:marRight w:val="0"/>
          <w:marTop w:val="154"/>
          <w:marBottom w:val="0"/>
          <w:divBdr>
            <w:top w:val="none" w:sz="0" w:space="0" w:color="auto"/>
            <w:left w:val="none" w:sz="0" w:space="0" w:color="auto"/>
            <w:bottom w:val="none" w:sz="0" w:space="0" w:color="auto"/>
            <w:right w:val="none" w:sz="0" w:space="0" w:color="auto"/>
          </w:divBdr>
        </w:div>
      </w:divsChild>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5000651">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50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6039525">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74474100">
      <w:bodyDiv w:val="1"/>
      <w:marLeft w:val="0"/>
      <w:marRight w:val="0"/>
      <w:marTop w:val="0"/>
      <w:marBottom w:val="0"/>
      <w:divBdr>
        <w:top w:val="none" w:sz="0" w:space="0" w:color="auto"/>
        <w:left w:val="none" w:sz="0" w:space="0" w:color="auto"/>
        <w:bottom w:val="none" w:sz="0" w:space="0" w:color="auto"/>
        <w:right w:val="none" w:sz="0" w:space="0" w:color="auto"/>
      </w:divBdr>
      <w:divsChild>
        <w:div w:id="905578158">
          <w:marLeft w:val="547"/>
          <w:marRight w:val="0"/>
          <w:marTop w:val="154"/>
          <w:marBottom w:val="0"/>
          <w:divBdr>
            <w:top w:val="none" w:sz="0" w:space="0" w:color="auto"/>
            <w:left w:val="none" w:sz="0" w:space="0" w:color="auto"/>
            <w:bottom w:val="none" w:sz="0" w:space="0" w:color="auto"/>
            <w:right w:val="none" w:sz="0" w:space="0" w:color="auto"/>
          </w:divBdr>
        </w:div>
      </w:divsChild>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3784370">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68004684">
      <w:bodyDiv w:val="1"/>
      <w:marLeft w:val="0"/>
      <w:marRight w:val="0"/>
      <w:marTop w:val="0"/>
      <w:marBottom w:val="0"/>
      <w:divBdr>
        <w:top w:val="none" w:sz="0" w:space="0" w:color="auto"/>
        <w:left w:val="none" w:sz="0" w:space="0" w:color="auto"/>
        <w:bottom w:val="none" w:sz="0" w:space="0" w:color="auto"/>
        <w:right w:val="none" w:sz="0" w:space="0" w:color="auto"/>
      </w:divBdr>
    </w:div>
    <w:div w:id="1275597772">
      <w:bodyDiv w:val="1"/>
      <w:marLeft w:val="0"/>
      <w:marRight w:val="0"/>
      <w:marTop w:val="0"/>
      <w:marBottom w:val="0"/>
      <w:divBdr>
        <w:top w:val="none" w:sz="0" w:space="0" w:color="auto"/>
        <w:left w:val="none" w:sz="0" w:space="0" w:color="auto"/>
        <w:bottom w:val="none" w:sz="0" w:space="0" w:color="auto"/>
        <w:right w:val="none" w:sz="0" w:space="0" w:color="auto"/>
      </w:divBdr>
      <w:divsChild>
        <w:div w:id="708648427">
          <w:marLeft w:val="547"/>
          <w:marRight w:val="0"/>
          <w:marTop w:val="154"/>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8884774">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21850098">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451085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0104291">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RAN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F490A-09F1-4DC9-AE94-886A32917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4</Pages>
  <Words>1241</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RAN5 Discussion paper </vt:lpstr>
      <vt:lpstr>3GPP TSG-RAN WG4 Meeting # 106is-e                                              </vt:lpstr>
      <vt:lpstr>Online, April 17 – April 26, 2023</vt:lpstr>
      <vt:lpstr>Background</vt:lpstr>
      <vt:lpstr>Discussion</vt:lpstr>
      <vt:lpstr>    2.1 FR name</vt:lpstr>
      <vt:lpstr>    2.2 TX–RX frequency separation</vt:lpstr>
      <vt:lpstr>    2.3 Channel raster and sync raster</vt:lpstr>
      <vt:lpstr>        2.3.1 Channel raster</vt:lpstr>
      <vt:lpstr>        2.3.2 Sync raster</vt:lpstr>
      <vt:lpstr>    2.4 LS to other groups</vt:lpstr>
      <vt:lpstr>Summary</vt:lpstr>
      <vt:lpstr>Reference</vt:lpstr>
      <vt:lpstr>Annex: Draft LS to RAN1 and RAN2</vt:lpstr>
      <vt:lpstr>1	Overall description</vt:lpstr>
    </vt:vector>
  </TitlesOfParts>
  <Company>CATT</Company>
  <LinksUpToDate>false</LinksUpToDate>
  <CharactersWithSpaces>8299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86</cp:revision>
  <cp:lastPrinted>2007-04-24T00:59:00Z</cp:lastPrinted>
  <dcterms:created xsi:type="dcterms:W3CDTF">2023-01-30T02:54:00Z</dcterms:created>
  <dcterms:modified xsi:type="dcterms:W3CDTF">2023-08-11T11:01:00Z</dcterms:modified>
</cp:coreProperties>
</file>